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3.5.0 -->
  <w:body>
    <w:p w:rsidR="009E757B" w:rsidP="00E67090" w14:paraId="6BFCBE4E" w14:textId="77777777">
      <w:pPr>
        <w:pStyle w:val="Title"/>
      </w:pPr>
      <w:r>
        <w:t>Egenevaluering av kompetanse</w:t>
      </w:r>
    </w:p>
    <w:p w:rsidR="009E757B" w:rsidP="00F0671C" w14:paraId="5A1D9CC3" w14:textId="77777777">
      <w:r w:rsidRPr="00834171">
        <w:t xml:space="preserve">I dette skjemaet skal du vurdere om du har kompetanse som tilfredsstiller </w:t>
      </w:r>
      <w:r>
        <w:t>minimumskravene som kreves før man går opp til en fagprøve (læremål VG3). Dette er kjerneprinsippet i en «</w:t>
      </w:r>
      <w:r>
        <w:t>top</w:t>
      </w:r>
      <w:r>
        <w:t xml:space="preserve"> </w:t>
      </w:r>
      <w:r>
        <w:t>down</w:t>
      </w:r>
      <w:r>
        <w:t xml:space="preserve"> vurdering» som vi bruker for å vurdere realkompetanse. Egenevaluering er en av flere metoder som kan brukes, men den har fordelen at den dokumenterer likeverdig kompetanse effektivt.</w:t>
      </w:r>
    </w:p>
    <w:p w:rsidR="009E757B" w:rsidRPr="00953080" w:rsidP="002A1FFE" w14:paraId="3D13CA5E" w14:textId="77777777">
      <w:r w:rsidRPr="00953080">
        <w:t>Fagskolen i Finnmark vil</w:t>
      </w:r>
      <w:r>
        <w:t xml:space="preserve"> også</w:t>
      </w:r>
      <w:r w:rsidRPr="00953080">
        <w:t xml:space="preserve"> være sikre på at alle studenter </w:t>
      </w:r>
      <w:r>
        <w:t xml:space="preserve">enten </w:t>
      </w:r>
      <w:r w:rsidRPr="00953080">
        <w:t xml:space="preserve">har de nødvendige kvalifikasjonene </w:t>
      </w:r>
      <w:r>
        <w:t>eller gis mulighet til å tilegne seg de relevante kvalifikasjonene gjennom studiet</w:t>
      </w:r>
      <w:r w:rsidRPr="00953080">
        <w:t xml:space="preserve">. </w:t>
      </w:r>
      <w:r>
        <w:t>Derfor</w:t>
      </w:r>
      <w:r w:rsidRPr="00953080">
        <w:t xml:space="preserve"> ønsker</w:t>
      </w:r>
      <w:r>
        <w:t xml:space="preserve"> vi</w:t>
      </w:r>
      <w:r w:rsidRPr="00953080">
        <w:t xml:space="preserve"> at du vurderer dine egne ferdigheter, erfaringer og kunnskaper, da dette gir oss et klart bilde av din kompetanse.</w:t>
      </w:r>
      <w:r>
        <w:t xml:space="preserve"> Og mulighet til å </w:t>
      </w:r>
      <w:r w:rsidRPr="00953080">
        <w:t>forstå dine sterke sider og områder som trenger mer oppmerksomhet i undervisningen</w:t>
      </w:r>
      <w:r>
        <w:t>.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668"/>
        <w:gridCol w:w="1134"/>
        <w:gridCol w:w="1701"/>
        <w:gridCol w:w="1275"/>
        <w:gridCol w:w="1843"/>
        <w:gridCol w:w="1667"/>
      </w:tblGrid>
      <w:tr w14:paraId="3AD6406F" w14:textId="77777777" w:rsidTr="00FF7CF8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246"/>
        </w:trPr>
        <w:tc>
          <w:tcPr>
            <w:tcW w:w="9288" w:type="dxa"/>
            <w:gridSpan w:val="6"/>
          </w:tcPr>
          <w:p w:rsidR="009E757B" w:rsidRPr="00FF7CF8" w:rsidP="00C055A6" w14:paraId="3B4756B5" w14:textId="77777777">
            <w:pPr>
              <w:pStyle w:val="NoSpacing"/>
              <w:jc w:val="center"/>
              <w:rPr>
                <w:b/>
                <w:bCs/>
              </w:rPr>
            </w:pPr>
            <w:r w:rsidRPr="00FF7CF8">
              <w:rPr>
                <w:b/>
                <w:bCs/>
              </w:rPr>
              <w:t>Skala over kompetanse i emnet</w:t>
            </w:r>
          </w:p>
        </w:tc>
      </w:tr>
      <w:tr w14:paraId="0C7CFA36" w14:textId="77777777" w:rsidTr="00BE7B29">
        <w:tblPrEx>
          <w:tblW w:w="0" w:type="auto"/>
          <w:tblLook w:val="04A0"/>
        </w:tblPrEx>
        <w:trPr>
          <w:trHeight w:val="246"/>
        </w:trPr>
        <w:tc>
          <w:tcPr>
            <w:tcW w:w="1668" w:type="dxa"/>
          </w:tcPr>
          <w:p w:rsidR="009E757B" w:rsidP="00B1647E" w14:paraId="4872C4A1" w14:textId="77777777">
            <w:pPr>
              <w:pStyle w:val="NoSpacing"/>
            </w:pPr>
            <w:r w:rsidRPr="001F339D">
              <w:t>1</w:t>
            </w:r>
            <w:r>
              <w:t xml:space="preserve"> =</w:t>
            </w:r>
            <w:r w:rsidRPr="001F339D">
              <w:t xml:space="preserve"> svært lav</w:t>
            </w:r>
          </w:p>
        </w:tc>
        <w:tc>
          <w:tcPr>
            <w:tcW w:w="1134" w:type="dxa"/>
          </w:tcPr>
          <w:p w:rsidR="009E757B" w:rsidP="00B1647E" w14:paraId="75EE3A50" w14:textId="77777777">
            <w:pPr>
              <w:pStyle w:val="NoSpacing"/>
            </w:pPr>
            <w:r w:rsidRPr="001F339D">
              <w:t xml:space="preserve">2 </w:t>
            </w:r>
            <w:r>
              <w:t xml:space="preserve">= </w:t>
            </w:r>
            <w:r w:rsidRPr="001F339D">
              <w:t xml:space="preserve">lav </w:t>
            </w:r>
          </w:p>
        </w:tc>
        <w:tc>
          <w:tcPr>
            <w:tcW w:w="1701" w:type="dxa"/>
          </w:tcPr>
          <w:p w:rsidR="009E757B" w:rsidP="00B1647E" w14:paraId="4F40097F" w14:textId="77777777">
            <w:pPr>
              <w:pStyle w:val="NoSpacing"/>
            </w:pPr>
            <w:r w:rsidRPr="001F339D">
              <w:t>3</w:t>
            </w:r>
            <w:r>
              <w:t xml:space="preserve"> =</w:t>
            </w:r>
            <w:r w:rsidRPr="001F339D">
              <w:t xml:space="preserve"> nokså god </w:t>
            </w:r>
          </w:p>
        </w:tc>
        <w:tc>
          <w:tcPr>
            <w:tcW w:w="1275" w:type="dxa"/>
          </w:tcPr>
          <w:p w:rsidR="009E757B" w:rsidP="00B1647E" w14:paraId="66B91F7B" w14:textId="77777777">
            <w:pPr>
              <w:pStyle w:val="NoSpacing"/>
            </w:pPr>
            <w:r w:rsidRPr="001F339D">
              <w:t>4</w:t>
            </w:r>
            <w:r>
              <w:t xml:space="preserve"> =</w:t>
            </w:r>
            <w:r w:rsidRPr="001F339D">
              <w:t xml:space="preserve"> god </w:t>
            </w:r>
          </w:p>
        </w:tc>
        <w:tc>
          <w:tcPr>
            <w:tcW w:w="1843" w:type="dxa"/>
          </w:tcPr>
          <w:p w:rsidR="009E757B" w:rsidP="00B1647E" w14:paraId="66F9A36C" w14:textId="77777777">
            <w:pPr>
              <w:pStyle w:val="NoSpacing"/>
            </w:pPr>
            <w:r w:rsidRPr="001F339D">
              <w:t>5</w:t>
            </w:r>
            <w:r>
              <w:t xml:space="preserve"> =</w:t>
            </w:r>
            <w:r w:rsidRPr="001F339D">
              <w:t xml:space="preserve"> </w:t>
            </w:r>
            <w:r w:rsidRPr="00B1647E">
              <w:t>meget </w:t>
            </w:r>
            <w:r w:rsidRPr="001F339D">
              <w:t xml:space="preserve">god </w:t>
            </w:r>
          </w:p>
        </w:tc>
        <w:tc>
          <w:tcPr>
            <w:tcW w:w="1667" w:type="dxa"/>
          </w:tcPr>
          <w:p w:rsidR="009E757B" w:rsidP="00B1647E" w14:paraId="11FF5C1A" w14:textId="77777777">
            <w:pPr>
              <w:pStyle w:val="NoSpacing"/>
            </w:pPr>
            <w:r w:rsidRPr="001F339D">
              <w:t>6</w:t>
            </w:r>
            <w:r>
              <w:t xml:space="preserve"> =</w:t>
            </w:r>
            <w:r w:rsidRPr="001F339D">
              <w:t xml:space="preserve"> svært god </w:t>
            </w:r>
          </w:p>
        </w:tc>
      </w:tr>
    </w:tbl>
    <w:p w:rsidR="009E757B" w:rsidRPr="008C1F87" w:rsidP="008C1F87" w14:paraId="319795E7" w14:textId="77777777">
      <w:pPr>
        <w:pStyle w:val="NoSpacing"/>
      </w:pPr>
    </w:p>
    <w:tbl>
      <w:tblPr>
        <w:tblStyle w:val="PlainTable1"/>
        <w:tblW w:w="9889" w:type="dxa"/>
        <w:tblLook w:val="0420"/>
      </w:tblPr>
      <w:tblGrid>
        <w:gridCol w:w="7054"/>
        <w:gridCol w:w="2835"/>
      </w:tblGrid>
      <w:tr w14:paraId="1F07F99B" w14:textId="77777777" w:rsidTr="00EC5D6F">
        <w:tblPrEx>
          <w:tblW w:w="9889" w:type="dxa"/>
          <w:tblLook w:val="0420"/>
        </w:tblPrEx>
        <w:tc>
          <w:tcPr>
            <w:tcW w:w="7054" w:type="dxa"/>
          </w:tcPr>
          <w:p w:rsidR="009E757B" w:rsidRPr="00E67090" w:rsidP="00274EA2" w14:paraId="1F5E7FCF" w14:textId="77777777">
            <w:r w:rsidRPr="00EE4E15">
              <w:rPr>
                <w:noProof/>
              </w:rPr>
              <w:t>Steinfaget (STE03</w:t>
            </w:r>
            <w:r w:rsidRPr="00EE4E15">
              <w:rPr>
                <w:rFonts w:ascii="Cambria Math" w:hAnsi="Cambria Math" w:cs="Cambria Math"/>
                <w:noProof/>
              </w:rPr>
              <w:t>‑</w:t>
            </w:r>
            <w:r w:rsidRPr="00EE4E15">
              <w:rPr>
                <w:noProof/>
              </w:rPr>
              <w:t>02)</w:t>
            </w:r>
            <w:r>
              <w:t xml:space="preserve"> Kompetansemål for vurdering</w:t>
            </w:r>
          </w:p>
        </w:tc>
        <w:tc>
          <w:tcPr>
            <w:tcW w:w="2835" w:type="dxa"/>
          </w:tcPr>
          <w:p w:rsidR="009E757B" w:rsidP="003D3660" w14:paraId="0759E738" w14:textId="77777777">
            <w:r>
              <w:t>Min kompetanse 1-6</w:t>
            </w:r>
          </w:p>
        </w:tc>
      </w:tr>
      <w:tr w14:paraId="48F4D0C3" w14:textId="77777777" w:rsidTr="00EC5D6F">
        <w:tblPrEx>
          <w:tblW w:w="9889" w:type="dxa"/>
          <w:tblLook w:val="0420"/>
        </w:tblPrEx>
        <w:tc>
          <w:tcPr>
            <w:tcW w:w="7054" w:type="dxa"/>
          </w:tcPr>
          <w:p w:rsidR="009E757B" w:rsidP="00E67090" w14:paraId="0FFF73DF" w14:textId="10610F8F">
            <w:r>
              <w:rPr>
                <w:noProof/>
              </w:rPr>
              <w:t>Planlegge utvinning, foredling og bruk av stein, arbeide etter tegninger, beskrivelser og preaksepterte løsninger, velge verktøy og materialer og vurdere kostnadene, tidsbruken og miljøbelastningen ved arbeidet</w:t>
            </w:r>
          </w:p>
        </w:tc>
        <w:tc>
          <w:tcPr>
            <w:tcW w:w="2835" w:type="dxa"/>
          </w:tcPr>
          <w:p w:rsidR="009E757B" w:rsidP="00E67090" w14:paraId="560CED34" w14:textId="77777777"/>
        </w:tc>
      </w:tr>
      <w:tr w14:paraId="62079BD4" w14:textId="77777777" w:rsidTr="00EC5D6F">
        <w:tblPrEx>
          <w:tblW w:w="9889" w:type="dxa"/>
          <w:tblLook w:val="0420"/>
        </w:tblPrEx>
        <w:tc>
          <w:tcPr>
            <w:tcW w:w="7054" w:type="dxa"/>
          </w:tcPr>
          <w:p w:rsidR="009E757B" w:rsidP="00E67090" w14:paraId="72F99FC1" w14:textId="3E3219F1">
            <w:r>
              <w:rPr>
                <w:noProof/>
              </w:rPr>
              <w:t>Utarbeide framdriftsplaner, bestille og motta materialer og utstyr og kontrollere kvalitet og mengde i tråd med arbeidsoppdraget</w:t>
            </w:r>
          </w:p>
        </w:tc>
        <w:tc>
          <w:tcPr>
            <w:tcW w:w="2835" w:type="dxa"/>
          </w:tcPr>
          <w:p w:rsidR="009E757B" w:rsidP="00E67090" w14:paraId="6D72A3ED" w14:textId="77777777"/>
        </w:tc>
      </w:tr>
      <w:tr w14:paraId="4C31E0D5" w14:textId="77777777" w:rsidTr="00EC5D6F">
        <w:tblPrEx>
          <w:tblW w:w="9889" w:type="dxa"/>
          <w:tblLook w:val="0420"/>
        </w:tblPrEx>
        <w:tc>
          <w:tcPr>
            <w:tcW w:w="7054" w:type="dxa"/>
          </w:tcPr>
          <w:p w:rsidR="009E757B" w:rsidP="00E67090" w14:paraId="58F20109" w14:textId="370444E7">
            <w:r>
              <w:rPr>
                <w:noProof/>
              </w:rPr>
              <w:t>Gjøre rede for og bruke kvalitetssikringssystemer, dokumentere arbeidet, arbeide i tråd med gjeldende regelverk for helse, miljø og sikkerhet og reflektere over konsekvensene av å ikke følge regelverket</w:t>
            </w:r>
          </w:p>
        </w:tc>
        <w:tc>
          <w:tcPr>
            <w:tcW w:w="2835" w:type="dxa"/>
          </w:tcPr>
          <w:p w:rsidR="009E757B" w:rsidP="00E67090" w14:paraId="571E9B1F" w14:textId="77777777"/>
        </w:tc>
      </w:tr>
      <w:tr w14:paraId="0C1EE4CE" w14:textId="77777777" w:rsidTr="00EC5D6F">
        <w:tblPrEx>
          <w:tblW w:w="9889" w:type="dxa"/>
          <w:tblLook w:val="0420"/>
        </w:tblPrEx>
        <w:tc>
          <w:tcPr>
            <w:tcW w:w="7054" w:type="dxa"/>
          </w:tcPr>
          <w:p w:rsidR="009E757B" w:rsidP="00E67090" w14:paraId="308B2CC9" w14:textId="17C86F61">
            <w:r>
              <w:rPr>
                <w:noProof/>
              </w:rPr>
              <w:t>Risikovurdere arbeidsoppdrag gjennomføre en sikker jobbanalyse og rapportere om uønskede hendelser</w:t>
            </w:r>
          </w:p>
        </w:tc>
        <w:tc>
          <w:tcPr>
            <w:tcW w:w="2835" w:type="dxa"/>
          </w:tcPr>
          <w:p w:rsidR="009E757B" w:rsidP="00E67090" w14:paraId="6641F9F4" w14:textId="77777777"/>
        </w:tc>
      </w:tr>
      <w:tr w14:paraId="11EAEF67" w14:textId="77777777" w:rsidTr="00EC5D6F">
        <w:tblPrEx>
          <w:tblW w:w="9889" w:type="dxa"/>
          <w:tblLook w:val="0420"/>
        </w:tblPrEx>
        <w:tc>
          <w:tcPr>
            <w:tcW w:w="7054" w:type="dxa"/>
          </w:tcPr>
          <w:p w:rsidR="009E757B" w:rsidP="00E67090" w14:paraId="183C5A2D" w14:textId="7A74810A">
            <w:r>
              <w:rPr>
                <w:noProof/>
              </w:rPr>
              <w:t>Utføre grunnleggende førstehjelp</w:t>
            </w:r>
          </w:p>
        </w:tc>
        <w:tc>
          <w:tcPr>
            <w:tcW w:w="2835" w:type="dxa"/>
          </w:tcPr>
          <w:p w:rsidR="009E757B" w:rsidP="00E67090" w14:paraId="5E5C31AF" w14:textId="77777777"/>
        </w:tc>
      </w:tr>
      <w:tr w14:paraId="3213164D" w14:textId="77777777" w:rsidTr="00EC5D6F">
        <w:tblPrEx>
          <w:tblW w:w="9889" w:type="dxa"/>
          <w:tblLook w:val="0420"/>
        </w:tblPrEx>
        <w:tc>
          <w:tcPr>
            <w:tcW w:w="7054" w:type="dxa"/>
          </w:tcPr>
          <w:p w:rsidR="009E757B" w:rsidP="00E67090" w14:paraId="7CEEFA50" w14:textId="7E2F4D6B">
            <w:r>
              <w:rPr>
                <w:noProof/>
              </w:rPr>
              <w:t>Arbeide i tråd med ergonomiske prinsipper og reflektere over konsekvenser av støv- og støyeksponering og bruk av farlige kjemikalier.</w:t>
            </w:r>
          </w:p>
        </w:tc>
        <w:tc>
          <w:tcPr>
            <w:tcW w:w="2835" w:type="dxa"/>
          </w:tcPr>
          <w:p w:rsidR="009E757B" w:rsidP="00E67090" w14:paraId="7705BC3B" w14:textId="77777777"/>
        </w:tc>
      </w:tr>
      <w:tr w14:paraId="6AF3EB94" w14:textId="77777777" w:rsidTr="00EC5D6F">
        <w:tblPrEx>
          <w:tblW w:w="9889" w:type="dxa"/>
          <w:tblLook w:val="0420"/>
        </w:tblPrEx>
        <w:tc>
          <w:tcPr>
            <w:tcW w:w="7054" w:type="dxa"/>
          </w:tcPr>
          <w:p w:rsidR="009E757B" w:rsidP="00E67090" w14:paraId="214B4CFC" w14:textId="32C6A911">
            <w:r>
              <w:rPr>
                <w:noProof/>
              </w:rPr>
              <w:t>Bruke verne- og sikkerhetsutstyr og reflektere over konsekvensene av feilbruk</w:t>
            </w:r>
          </w:p>
        </w:tc>
        <w:tc>
          <w:tcPr>
            <w:tcW w:w="2835" w:type="dxa"/>
          </w:tcPr>
          <w:p w:rsidR="009E757B" w:rsidP="00E67090" w14:paraId="60D51E2F" w14:textId="77777777"/>
        </w:tc>
      </w:tr>
      <w:tr w14:paraId="38535A52" w14:textId="77777777" w:rsidTr="00EC5D6F">
        <w:tblPrEx>
          <w:tblW w:w="9889" w:type="dxa"/>
          <w:tblLook w:val="0420"/>
        </w:tblPrEx>
        <w:tc>
          <w:tcPr>
            <w:tcW w:w="7054" w:type="dxa"/>
          </w:tcPr>
          <w:p w:rsidR="009E757B" w:rsidP="00E67090" w14:paraId="2AA18C4C" w14:textId="55E2C8A5">
            <w:r>
              <w:rPr>
                <w:noProof/>
              </w:rPr>
              <w:t>Tegne prosjekter, lage arbeidsbeskrivelser og beregne mengder, areal, masser, vekt, kostnader og materialbruk til prosjektet</w:t>
            </w:r>
          </w:p>
        </w:tc>
        <w:tc>
          <w:tcPr>
            <w:tcW w:w="2835" w:type="dxa"/>
          </w:tcPr>
          <w:p w:rsidR="009E757B" w:rsidP="00E67090" w14:paraId="128FF915" w14:textId="77777777"/>
        </w:tc>
      </w:tr>
      <w:tr w14:paraId="42AAEB2E" w14:textId="77777777" w:rsidTr="00EC5D6F">
        <w:tblPrEx>
          <w:tblW w:w="9889" w:type="dxa"/>
          <w:tblLook w:val="0420"/>
        </w:tblPrEx>
        <w:tc>
          <w:tcPr>
            <w:tcW w:w="7054" w:type="dxa"/>
          </w:tcPr>
          <w:p w:rsidR="009E757B" w:rsidP="00E67090" w14:paraId="70BCBE66" w14:textId="224E62D4">
            <w:r>
              <w:rPr>
                <w:noProof/>
              </w:rPr>
              <w:t>Håndtere stein etter gjeldende regelverk, og gjøre rede for ulike bruksområder for gjenbruk av skrotstein og gjenbruke steinen på en måte som minimere miljøbelastningen</w:t>
            </w:r>
          </w:p>
        </w:tc>
        <w:tc>
          <w:tcPr>
            <w:tcW w:w="2835" w:type="dxa"/>
          </w:tcPr>
          <w:p w:rsidR="009E757B" w:rsidP="00E67090" w14:paraId="13E13B41" w14:textId="77777777"/>
        </w:tc>
      </w:tr>
      <w:tr w14:paraId="51A8F20F" w14:textId="77777777" w:rsidTr="00EC5D6F">
        <w:tblPrEx>
          <w:tblW w:w="9889" w:type="dxa"/>
          <w:tblLook w:val="0420"/>
        </w:tblPrEx>
        <w:tc>
          <w:tcPr>
            <w:tcW w:w="7054" w:type="dxa"/>
          </w:tcPr>
          <w:p w:rsidR="009E757B" w:rsidP="00E67090" w14:paraId="320D10E3" w14:textId="01B129CB">
            <w:r>
              <w:rPr>
                <w:noProof/>
              </w:rPr>
              <w:t>Vurdere bust, kløv og svall, spalte steinen, og reflektere over hvordan feilbryting påvirker ulike typer bergarter</w:t>
            </w:r>
          </w:p>
        </w:tc>
        <w:tc>
          <w:tcPr>
            <w:tcW w:w="2835" w:type="dxa"/>
          </w:tcPr>
          <w:p w:rsidR="009E757B" w:rsidP="00E67090" w14:paraId="3A4DB1C0" w14:textId="77777777"/>
        </w:tc>
      </w:tr>
      <w:tr w14:paraId="6C87B159" w14:textId="77777777" w:rsidTr="00EC5D6F">
        <w:tblPrEx>
          <w:tblW w:w="9889" w:type="dxa"/>
          <w:tblLook w:val="0420"/>
        </w:tblPrEx>
        <w:tc>
          <w:tcPr>
            <w:tcW w:w="7054" w:type="dxa"/>
          </w:tcPr>
          <w:p w:rsidR="009E757B" w:rsidP="00E67090" w14:paraId="595B0516" w14:textId="14C3A6E3">
            <w:r>
              <w:rPr>
                <w:noProof/>
              </w:rPr>
              <w:t>Velge verktøy, utvinne ulike typer bergarter og vurdere hvordan vaiersaging, boring og kiling påvirker produkter av granitt, skifer, marmor og kleberstein</w:t>
            </w:r>
          </w:p>
        </w:tc>
        <w:tc>
          <w:tcPr>
            <w:tcW w:w="2835" w:type="dxa"/>
          </w:tcPr>
          <w:p w:rsidR="009E757B" w:rsidP="00E67090" w14:paraId="13DEFC74" w14:textId="77777777"/>
        </w:tc>
      </w:tr>
      <w:tr w14:paraId="3CEA9E44" w14:textId="77777777" w:rsidTr="00EC5D6F">
        <w:tblPrEx>
          <w:tblW w:w="9889" w:type="dxa"/>
          <w:tblLook w:val="0420"/>
        </w:tblPrEx>
        <w:tc>
          <w:tcPr>
            <w:tcW w:w="7054" w:type="dxa"/>
          </w:tcPr>
          <w:p w:rsidR="009E757B" w:rsidP="00E67090" w14:paraId="2CABA0EA" w14:textId="051971C2">
            <w:r>
              <w:rPr>
                <w:noProof/>
              </w:rPr>
              <w:t>Identifisere sprekker, fargerenner og kvalitetsforskjeller i steinen og vurdere bearbeidingsmetode ut fra kvaliteten på steinen</w:t>
            </w:r>
          </w:p>
        </w:tc>
        <w:tc>
          <w:tcPr>
            <w:tcW w:w="2835" w:type="dxa"/>
          </w:tcPr>
          <w:p w:rsidR="009E757B" w:rsidP="00E67090" w14:paraId="4F48F4F8" w14:textId="77777777"/>
        </w:tc>
      </w:tr>
      <w:tr w14:paraId="4E7DD11C" w14:textId="77777777" w:rsidTr="00EC5D6F">
        <w:tblPrEx>
          <w:tblW w:w="9889" w:type="dxa"/>
          <w:tblLook w:val="0420"/>
        </w:tblPrEx>
        <w:tc>
          <w:tcPr>
            <w:tcW w:w="7054" w:type="dxa"/>
          </w:tcPr>
          <w:p w:rsidR="009E757B" w:rsidP="00E67090" w14:paraId="0FC67E2F" w14:textId="45F2B184">
            <w:r>
              <w:rPr>
                <w:noProof/>
              </w:rPr>
              <w:t>Klassifisere bergarter, identifisere bruksområder, og vurdere hvordan temperatur, fuktighet og klima påvirker steinens egenskaper</w:t>
            </w:r>
          </w:p>
        </w:tc>
        <w:tc>
          <w:tcPr>
            <w:tcW w:w="2835" w:type="dxa"/>
          </w:tcPr>
          <w:p w:rsidR="009E757B" w:rsidP="00E67090" w14:paraId="4CE37EA1" w14:textId="77777777"/>
        </w:tc>
      </w:tr>
      <w:tr w14:paraId="74E5CAA8" w14:textId="77777777" w:rsidTr="00EC5D6F">
        <w:tblPrEx>
          <w:tblW w:w="9889" w:type="dxa"/>
          <w:tblLook w:val="0420"/>
        </w:tblPrEx>
        <w:tc>
          <w:tcPr>
            <w:tcW w:w="7054" w:type="dxa"/>
          </w:tcPr>
          <w:p w:rsidR="009E757B" w:rsidP="00E67090" w14:paraId="4BCC0B38" w14:textId="725FB35C">
            <w:r>
              <w:rPr>
                <w:noProof/>
              </w:rPr>
              <w:t>Sage, slipe, polere, sandblåse, flammebrenne og hugge bergarter og vurdere hvordan ulike typer foredling påvirker bruksområdene for stein</w:t>
            </w:r>
          </w:p>
        </w:tc>
        <w:tc>
          <w:tcPr>
            <w:tcW w:w="2835" w:type="dxa"/>
          </w:tcPr>
          <w:p w:rsidR="009E757B" w:rsidP="00E67090" w14:paraId="6DD73A55" w14:textId="77777777"/>
        </w:tc>
      </w:tr>
      <w:tr w14:paraId="102E12EC" w14:textId="77777777" w:rsidTr="00EC5D6F">
        <w:tblPrEx>
          <w:tblW w:w="9889" w:type="dxa"/>
          <w:tblLook w:val="0420"/>
        </w:tblPrEx>
        <w:tc>
          <w:tcPr>
            <w:tcW w:w="7054" w:type="dxa"/>
          </w:tcPr>
          <w:p w:rsidR="009E757B" w:rsidP="00E67090" w14:paraId="2E9C91EF" w14:textId="6C401BA1">
            <w:r>
              <w:rPr>
                <w:noProof/>
              </w:rPr>
              <w:t>Foreslå steintype og foredlingsmetoder ut fra kunders behov for bruk</w:t>
            </w:r>
          </w:p>
        </w:tc>
        <w:tc>
          <w:tcPr>
            <w:tcW w:w="2835" w:type="dxa"/>
          </w:tcPr>
          <w:p w:rsidR="009E757B" w:rsidP="00E67090" w14:paraId="47973DE3" w14:textId="77777777"/>
        </w:tc>
      </w:tr>
      <w:tr w14:paraId="4946DF8D" w14:textId="77777777" w:rsidTr="00EC5D6F">
        <w:tblPrEx>
          <w:tblW w:w="9889" w:type="dxa"/>
          <w:tblLook w:val="0420"/>
        </w:tblPrEx>
        <w:tc>
          <w:tcPr>
            <w:tcW w:w="7054" w:type="dxa"/>
          </w:tcPr>
          <w:p w:rsidR="009E757B" w:rsidP="00E67090" w14:paraId="529898F6" w14:textId="6FC260FA">
            <w:r>
              <w:rPr>
                <w:noProof/>
              </w:rPr>
              <w:t>Bruke fagterminologi for å kommunisere med kolleger og andre yrkesutøvere og drøfte ulike løsninger som bidrar til å minimere miljøavtrykket og sikre en effektiv ressursutnyttelse</w:t>
            </w:r>
          </w:p>
        </w:tc>
        <w:tc>
          <w:tcPr>
            <w:tcW w:w="2835" w:type="dxa"/>
          </w:tcPr>
          <w:p w:rsidR="009E757B" w:rsidP="00E67090" w14:paraId="4330FC2B" w14:textId="77777777"/>
        </w:tc>
      </w:tr>
      <w:tr w14:paraId="1F5776CE" w14:textId="77777777" w:rsidTr="00EC5D6F">
        <w:tblPrEx>
          <w:tblW w:w="9889" w:type="dxa"/>
          <w:tblLook w:val="0420"/>
        </w:tblPrEx>
        <w:tc>
          <w:tcPr>
            <w:tcW w:w="7054" w:type="dxa"/>
          </w:tcPr>
          <w:p w:rsidR="009E757B" w:rsidP="00E67090" w14:paraId="3EFB0D92" w14:textId="57B5F384">
            <w:r>
              <w:rPr>
                <w:noProof/>
              </w:rPr>
              <w:t>Arbeide etter regelverk og avtaler som regulerer arbeidsforholdet i faget, gjøre rede for arbeidsgiverens og arbeidstakerens plikter og rettigheter og reflektere over krav og forventinger som blir stilt til et likeverdig og inkluderende yrkesfelleskap</w:t>
            </w:r>
          </w:p>
        </w:tc>
        <w:tc>
          <w:tcPr>
            <w:tcW w:w="2835" w:type="dxa"/>
          </w:tcPr>
          <w:p w:rsidR="009E757B" w:rsidP="00E67090" w14:paraId="404482B7" w14:textId="77777777"/>
        </w:tc>
      </w:tr>
    </w:tbl>
    <w:p w:rsidR="009E757B" w:rsidP="00CB42CB" w14:paraId="6D77167E" w14:textId="77777777">
      <w:pPr>
        <w:sectPr w:rsidSect="009E757B">
          <w:pgSz w:w="11906" w:h="16838"/>
          <w:pgMar w:top="1417" w:right="1417" w:bottom="1417" w:left="1417" w:header="708" w:footer="708" w:gutter="0"/>
          <w:pgNumType w:start="1"/>
          <w:cols w:space="708"/>
          <w:docGrid w:linePitch="360"/>
        </w:sectPr>
      </w:pPr>
    </w:p>
    <w:p w:rsidR="009E757B" w:rsidRPr="00EC5D6F" w:rsidP="00CB42CB" w14:paraId="0CA6D6B0" w14:textId="77777777"/>
    <w:sectPr w:rsidSect="009E757B"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 w15:restartNumberingAfterBreak="1">
    <w:nsid w:val="0E9F0C87"/>
    <w:multiLevelType w:val="multilevel"/>
    <w:tmpl w:val="761456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1">
    <w:nsid w:val="5BE701FE"/>
    <w:multiLevelType w:val="multilevel"/>
    <w:tmpl w:val="199004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54444524">
    <w:abstractNumId w:val="1"/>
  </w:num>
  <w:num w:numId="2" w16cid:durableId="14232614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6DE9"/>
    <w:rsid w:val="0002049A"/>
    <w:rsid w:val="000300B7"/>
    <w:rsid w:val="00040F50"/>
    <w:rsid w:val="00052B21"/>
    <w:rsid w:val="00065DDA"/>
    <w:rsid w:val="000710F6"/>
    <w:rsid w:val="000A2A28"/>
    <w:rsid w:val="000B4997"/>
    <w:rsid w:val="000C59DC"/>
    <w:rsid w:val="0013177F"/>
    <w:rsid w:val="00131C4A"/>
    <w:rsid w:val="00133523"/>
    <w:rsid w:val="00150F02"/>
    <w:rsid w:val="001649F5"/>
    <w:rsid w:val="001B3629"/>
    <w:rsid w:val="001F339D"/>
    <w:rsid w:val="00230408"/>
    <w:rsid w:val="0023585C"/>
    <w:rsid w:val="002401B6"/>
    <w:rsid w:val="00274EA2"/>
    <w:rsid w:val="002A1FFE"/>
    <w:rsid w:val="002C36E4"/>
    <w:rsid w:val="002D1A5C"/>
    <w:rsid w:val="002E3322"/>
    <w:rsid w:val="002E37F6"/>
    <w:rsid w:val="003120BC"/>
    <w:rsid w:val="00346479"/>
    <w:rsid w:val="00366F66"/>
    <w:rsid w:val="00376D15"/>
    <w:rsid w:val="00395A40"/>
    <w:rsid w:val="003D3660"/>
    <w:rsid w:val="004926C9"/>
    <w:rsid w:val="004B3FE3"/>
    <w:rsid w:val="004C3242"/>
    <w:rsid w:val="005263BD"/>
    <w:rsid w:val="005268BB"/>
    <w:rsid w:val="005518EC"/>
    <w:rsid w:val="005751E5"/>
    <w:rsid w:val="005A5E58"/>
    <w:rsid w:val="005B1D49"/>
    <w:rsid w:val="005E1AAE"/>
    <w:rsid w:val="005E6D5E"/>
    <w:rsid w:val="00680F4E"/>
    <w:rsid w:val="00697D3A"/>
    <w:rsid w:val="006A13C1"/>
    <w:rsid w:val="006A4979"/>
    <w:rsid w:val="0077093C"/>
    <w:rsid w:val="00783BAD"/>
    <w:rsid w:val="007A013D"/>
    <w:rsid w:val="00801C67"/>
    <w:rsid w:val="00834171"/>
    <w:rsid w:val="008654A8"/>
    <w:rsid w:val="008921E2"/>
    <w:rsid w:val="00894A70"/>
    <w:rsid w:val="008A065E"/>
    <w:rsid w:val="008C1F87"/>
    <w:rsid w:val="00905029"/>
    <w:rsid w:val="00953080"/>
    <w:rsid w:val="009D4311"/>
    <w:rsid w:val="009E757B"/>
    <w:rsid w:val="009F0F5B"/>
    <w:rsid w:val="00A4496E"/>
    <w:rsid w:val="00A47F53"/>
    <w:rsid w:val="00A610D4"/>
    <w:rsid w:val="00A67F53"/>
    <w:rsid w:val="00A71B33"/>
    <w:rsid w:val="00AA75C8"/>
    <w:rsid w:val="00AC2754"/>
    <w:rsid w:val="00B075F2"/>
    <w:rsid w:val="00B10D93"/>
    <w:rsid w:val="00B1647E"/>
    <w:rsid w:val="00B30DED"/>
    <w:rsid w:val="00BE024A"/>
    <w:rsid w:val="00BE7B29"/>
    <w:rsid w:val="00BF4141"/>
    <w:rsid w:val="00C000C5"/>
    <w:rsid w:val="00C055A6"/>
    <w:rsid w:val="00C0563A"/>
    <w:rsid w:val="00C14BE8"/>
    <w:rsid w:val="00C2368F"/>
    <w:rsid w:val="00C444C9"/>
    <w:rsid w:val="00C50093"/>
    <w:rsid w:val="00C765D3"/>
    <w:rsid w:val="00CB42CB"/>
    <w:rsid w:val="00CE0570"/>
    <w:rsid w:val="00D6583D"/>
    <w:rsid w:val="00D7015C"/>
    <w:rsid w:val="00D76DE9"/>
    <w:rsid w:val="00E048EF"/>
    <w:rsid w:val="00E215F4"/>
    <w:rsid w:val="00E67090"/>
    <w:rsid w:val="00E85E36"/>
    <w:rsid w:val="00EC5D6F"/>
    <w:rsid w:val="00EE4E15"/>
    <w:rsid w:val="00EE7CDF"/>
    <w:rsid w:val="00F0671C"/>
    <w:rsid w:val="00F20872"/>
    <w:rsid w:val="00F30EDF"/>
    <w:rsid w:val="00F501CB"/>
    <w:rsid w:val="00F555B7"/>
    <w:rsid w:val="00FA69CC"/>
    <w:rsid w:val="00FF7CF8"/>
  </w:rsids>
  <m:mathPr>
    <m:mathFont m:val="Cambria Math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4F8C21C5"/>
  <w15:chartTrackingRefBased/>
  <w15:docId w15:val="{4035DAB1-F4EB-4DA5-BD61-6890BC41FB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b-N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Overskrift1Tegn"/>
    <w:uiPriority w:val="9"/>
    <w:qFormat/>
    <w:rsid w:val="00D76DE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Overskrift2Tegn"/>
    <w:uiPriority w:val="9"/>
    <w:semiHidden/>
    <w:unhideWhenUsed/>
    <w:qFormat/>
    <w:rsid w:val="00D76DE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Overskrift3Tegn"/>
    <w:uiPriority w:val="9"/>
    <w:semiHidden/>
    <w:unhideWhenUsed/>
    <w:qFormat/>
    <w:rsid w:val="00D76DE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Overskrift4Tegn"/>
    <w:uiPriority w:val="9"/>
    <w:semiHidden/>
    <w:unhideWhenUsed/>
    <w:qFormat/>
    <w:rsid w:val="00D76DE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Overskrift5Tegn"/>
    <w:uiPriority w:val="9"/>
    <w:semiHidden/>
    <w:unhideWhenUsed/>
    <w:qFormat/>
    <w:rsid w:val="00D76DE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Overskrift6Tegn"/>
    <w:uiPriority w:val="9"/>
    <w:semiHidden/>
    <w:unhideWhenUsed/>
    <w:qFormat/>
    <w:rsid w:val="00D76DE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Overskrift7Tegn"/>
    <w:uiPriority w:val="9"/>
    <w:semiHidden/>
    <w:unhideWhenUsed/>
    <w:qFormat/>
    <w:rsid w:val="00D76DE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Overskrift8Tegn"/>
    <w:uiPriority w:val="9"/>
    <w:semiHidden/>
    <w:unhideWhenUsed/>
    <w:qFormat/>
    <w:rsid w:val="00D76DE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Overskrift9Tegn"/>
    <w:uiPriority w:val="9"/>
    <w:semiHidden/>
    <w:unhideWhenUsed/>
    <w:qFormat/>
    <w:rsid w:val="00D76DE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verskrift1Tegn">
    <w:name w:val="Overskrift 1 Tegn"/>
    <w:basedOn w:val="DefaultParagraphFont"/>
    <w:link w:val="Heading1"/>
    <w:uiPriority w:val="9"/>
    <w:rsid w:val="00D76DE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DefaultParagraphFont"/>
    <w:link w:val="Heading2"/>
    <w:uiPriority w:val="9"/>
    <w:semiHidden/>
    <w:rsid w:val="00D76DE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DefaultParagraphFont"/>
    <w:link w:val="Heading3"/>
    <w:uiPriority w:val="9"/>
    <w:semiHidden/>
    <w:rsid w:val="00D76DE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DefaultParagraphFont"/>
    <w:link w:val="Heading4"/>
    <w:uiPriority w:val="9"/>
    <w:semiHidden/>
    <w:rsid w:val="00D76DE9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DefaultParagraphFont"/>
    <w:link w:val="Heading5"/>
    <w:uiPriority w:val="9"/>
    <w:semiHidden/>
    <w:rsid w:val="00D76DE9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DefaultParagraphFont"/>
    <w:link w:val="Heading6"/>
    <w:uiPriority w:val="9"/>
    <w:semiHidden/>
    <w:rsid w:val="00D76DE9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DefaultParagraphFont"/>
    <w:link w:val="Heading7"/>
    <w:uiPriority w:val="9"/>
    <w:semiHidden/>
    <w:rsid w:val="00D76DE9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DefaultParagraphFont"/>
    <w:link w:val="Heading8"/>
    <w:uiPriority w:val="9"/>
    <w:semiHidden/>
    <w:rsid w:val="00D76DE9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DefaultParagraphFont"/>
    <w:link w:val="Heading9"/>
    <w:uiPriority w:val="9"/>
    <w:semiHidden/>
    <w:rsid w:val="00D76DE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telTegn"/>
    <w:uiPriority w:val="10"/>
    <w:qFormat/>
    <w:rsid w:val="00D76DE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telTegn">
    <w:name w:val="Tittel Tegn"/>
    <w:basedOn w:val="DefaultParagraphFont"/>
    <w:link w:val="Title"/>
    <w:uiPriority w:val="10"/>
    <w:rsid w:val="00D76DE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UndertittelTegn"/>
    <w:uiPriority w:val="11"/>
    <w:qFormat/>
    <w:rsid w:val="00D76DE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telTegn">
    <w:name w:val="Undertittel Tegn"/>
    <w:basedOn w:val="DefaultParagraphFont"/>
    <w:link w:val="Subtitle"/>
    <w:uiPriority w:val="11"/>
    <w:rsid w:val="00D76DE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SitatTegn"/>
    <w:uiPriority w:val="29"/>
    <w:qFormat/>
    <w:rsid w:val="00D76DE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SitatTegn">
    <w:name w:val="Sitat Tegn"/>
    <w:basedOn w:val="DefaultParagraphFont"/>
    <w:link w:val="Quote"/>
    <w:uiPriority w:val="29"/>
    <w:rsid w:val="00D76DE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76DE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76DE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SterktsitatTegn"/>
    <w:uiPriority w:val="30"/>
    <w:qFormat/>
    <w:rsid w:val="00D76DE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erktsitatTegn">
    <w:name w:val="Sterkt sitat Tegn"/>
    <w:basedOn w:val="DefaultParagraphFont"/>
    <w:link w:val="IntenseQuote"/>
    <w:uiPriority w:val="30"/>
    <w:rsid w:val="00D76DE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76DE9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E6709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1">
    <w:name w:val="Plain Table 1"/>
    <w:basedOn w:val="TableNormal"/>
    <w:uiPriority w:val="41"/>
    <w:rsid w:val="00E67090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NoSpacing">
    <w:name w:val="No Spacing"/>
    <w:uiPriority w:val="1"/>
    <w:qFormat/>
    <w:rsid w:val="008C1F87"/>
    <w:pPr>
      <w:spacing w:after="0" w:line="240" w:lineRule="auto"/>
    </w:pPr>
  </w:style>
  <w:style w:type="paragraph" w:styleId="Header">
    <w:name w:val="header"/>
    <w:basedOn w:val="Normal"/>
    <w:link w:val="TopptekstTegn"/>
    <w:uiPriority w:val="99"/>
    <w:unhideWhenUsed/>
    <w:rsid w:val="002E332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DefaultParagraphFont"/>
    <w:link w:val="Header"/>
    <w:uiPriority w:val="99"/>
    <w:rsid w:val="002E3322"/>
  </w:style>
  <w:style w:type="paragraph" w:styleId="Footer">
    <w:name w:val="footer"/>
    <w:basedOn w:val="Normal"/>
    <w:link w:val="BunntekstTegn"/>
    <w:uiPriority w:val="99"/>
    <w:unhideWhenUsed/>
    <w:rsid w:val="002E332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DefaultParagraphFont"/>
    <w:link w:val="Footer"/>
    <w:uiPriority w:val="99"/>
    <w:rsid w:val="002E332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5CC42F9-9B86-4988-8A00-3AF48C03A3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537</Words>
  <Characters>2849</Characters>
  <Application>Microsoft Office Word</Application>
  <DocSecurity>0</DocSecurity>
  <Lines>23</Lines>
  <Paragraphs>6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Troms og Finnmark fylkeskommune</Company>
  <LinksUpToDate>false</LinksUpToDate>
  <CharactersWithSpaces>3380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Egenevaluering av kompetanse Steinfaget</dc:title>
  <dc:creator>Marius Løvdal</dc:creator>
  <cp:lastModifiedBy>Marius Løvdal</cp:lastModifiedBy>
  <cp:revision>1</cp:revision>
  <dcterms:created xsi:type="dcterms:W3CDTF">2025-03-27T08:09:00Z</dcterms:created>
  <dcterms:modified xsi:type="dcterms:W3CDTF">2025-03-27T08:10:00Z</dcterms:modified>
</cp:coreProperties>
</file>