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D969FF" w:rsidP="00E67090" w14:paraId="748F347B" w14:textId="77777777">
      <w:pPr>
        <w:pStyle w:val="Title"/>
      </w:pPr>
      <w:r>
        <w:t>Egenevaluering av kompetanse</w:t>
      </w:r>
    </w:p>
    <w:p w:rsidR="00D969FF" w:rsidP="00F0671C" w14:paraId="34DD46C0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D969FF" w:rsidRPr="00953080" w:rsidP="002A1FFE" w14:paraId="27EFF52A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1455DB14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D969FF" w:rsidRPr="00FF7CF8" w:rsidP="00C055A6" w14:paraId="3B9D15B0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75AFB4B7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D969FF" w:rsidP="00B1647E" w14:paraId="3CC25573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D969FF" w:rsidP="00B1647E" w14:paraId="0654E5B0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D969FF" w:rsidP="00B1647E" w14:paraId="01FC3A4D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D969FF" w:rsidP="00B1647E" w14:paraId="445559A4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D969FF" w:rsidP="00B1647E" w14:paraId="195CAEDE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D969FF" w:rsidP="00B1647E" w14:paraId="13AD2D4E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D969FF" w:rsidRPr="008C1F87" w:rsidP="008C1F87" w14:paraId="70B4D733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7C79FC4F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RPr="00E67090" w:rsidP="00274EA2" w14:paraId="64B0B025" w14:textId="77777777">
            <w:r w:rsidRPr="00EE4E15">
              <w:rPr>
                <w:noProof/>
              </w:rPr>
              <w:t>Fundamenteringsfaget (FMF03</w:t>
            </w:r>
            <w:r w:rsidRPr="00EE4E15">
              <w:rPr>
                <w:rFonts w:ascii="Cambria Math" w:hAnsi="Cambria Math" w:cs="Cambria Math"/>
                <w:noProof/>
              </w:rPr>
              <w:t>‑</w:t>
            </w:r>
            <w:r w:rsidRPr="00EE4E15">
              <w:rPr>
                <w:noProof/>
              </w:rPr>
              <w:t>01)</w:t>
            </w:r>
            <w:r>
              <w:t xml:space="preserve"> Kompetansemål for vurdering</w:t>
            </w:r>
          </w:p>
        </w:tc>
        <w:tc>
          <w:tcPr>
            <w:tcW w:w="2835" w:type="dxa"/>
          </w:tcPr>
          <w:p w:rsidR="00D969FF" w:rsidP="003D3660" w14:paraId="69625594" w14:textId="77777777">
            <w:r>
              <w:t>Min kompetanse 1-6</w:t>
            </w:r>
          </w:p>
        </w:tc>
      </w:tr>
      <w:tr w14:paraId="617223E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6ED151F7" w14:textId="3385C5D8">
            <w:r>
              <w:rPr>
                <w:noProof/>
              </w:rPr>
              <w:t>Velge arbeidsmetoder etter gjeldende regelverk ved å bruke ulike prosjektverktøy og arbeide i tråd med gjeldende krav til helse, miljø og sikkerhet</w:t>
            </w:r>
          </w:p>
        </w:tc>
        <w:tc>
          <w:tcPr>
            <w:tcW w:w="2835" w:type="dxa"/>
          </w:tcPr>
          <w:p w:rsidR="00D969FF" w:rsidP="00E67090" w14:paraId="6F4266E4" w14:textId="77777777"/>
        </w:tc>
      </w:tr>
      <w:tr w14:paraId="27C4A97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72D81E1F" w14:textId="63823F88">
            <w:r>
              <w:rPr>
                <w:noProof/>
              </w:rPr>
              <w:t>Velge og bruke maskiner, materialer og verktøy med hensyn til kvalitet, funksjonalitet, miljø og økonomi</w:t>
            </w:r>
          </w:p>
        </w:tc>
        <w:tc>
          <w:tcPr>
            <w:tcW w:w="2835" w:type="dxa"/>
          </w:tcPr>
          <w:p w:rsidR="00D969FF" w:rsidP="00E67090" w14:paraId="680876DB" w14:textId="77777777"/>
        </w:tc>
      </w:tr>
      <w:tr w14:paraId="3303B16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3EA62860" w14:textId="328867D7">
            <w:r>
              <w:rPr>
                <w:noProof/>
              </w:rPr>
              <w:t>Sikre og sperre av bygge- og anleggsområdet, og drøfte ulike tiltak som sikrer risikoutsatte arbeidsforhold</w:t>
            </w:r>
          </w:p>
        </w:tc>
        <w:tc>
          <w:tcPr>
            <w:tcW w:w="2835" w:type="dxa"/>
          </w:tcPr>
          <w:p w:rsidR="00D969FF" w:rsidP="00E67090" w14:paraId="0767C52B" w14:textId="77777777"/>
        </w:tc>
      </w:tr>
      <w:tr w14:paraId="2E56955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2FB896E7" w14:textId="64234E21">
            <w:r>
              <w:rPr>
                <w:noProof/>
              </w:rPr>
              <w:t>Lage framdriftsplaner, beregne produksjonstid, bestille og motta materiell og utstyr og kontrollere at varer er i tråd med arbeidsoppdraget</w:t>
            </w:r>
          </w:p>
        </w:tc>
        <w:tc>
          <w:tcPr>
            <w:tcW w:w="2835" w:type="dxa"/>
          </w:tcPr>
          <w:p w:rsidR="00D969FF" w:rsidP="00E67090" w14:paraId="5781EC64" w14:textId="77777777"/>
        </w:tc>
      </w:tr>
      <w:tr w14:paraId="6805D6F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4AAB07DC" w14:textId="796C58A8">
            <w:r>
              <w:rPr>
                <w:noProof/>
              </w:rPr>
              <w:t>Risikovurdere arbeidsoppdrag, gjennomføre en sikker jobbanalyse og iverksette tiltak som forebygger helseskader og ulykker</w:t>
            </w:r>
          </w:p>
        </w:tc>
        <w:tc>
          <w:tcPr>
            <w:tcW w:w="2835" w:type="dxa"/>
          </w:tcPr>
          <w:p w:rsidR="00D969FF" w:rsidP="00E67090" w14:paraId="1E596F0C" w14:textId="77777777"/>
        </w:tc>
      </w:tr>
      <w:tr w14:paraId="6EC8C4E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4314464D" w14:textId="1B01FF45">
            <w:r>
              <w:rPr>
                <w:noProof/>
              </w:rPr>
              <w:t>Identifisere risiko for sensitiv kvikkleire og fare for grunnbrudd og forstyrrelser i grunnen</w:t>
            </w:r>
          </w:p>
        </w:tc>
        <w:tc>
          <w:tcPr>
            <w:tcW w:w="2835" w:type="dxa"/>
          </w:tcPr>
          <w:p w:rsidR="00D969FF" w:rsidP="00E67090" w14:paraId="7BD9D4E1" w14:textId="77777777"/>
        </w:tc>
      </w:tr>
      <w:tr w14:paraId="009F116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2737CEC8" w14:textId="5179697F">
            <w:r>
              <w:rPr>
                <w:noProof/>
              </w:rPr>
              <w:t>Oppfylle krav til tilstandskontroll og sikre mot skader som kan oppstå på nærliggende bygg og infrastruktur</w:t>
            </w:r>
          </w:p>
        </w:tc>
        <w:tc>
          <w:tcPr>
            <w:tcW w:w="2835" w:type="dxa"/>
          </w:tcPr>
          <w:p w:rsidR="00D969FF" w:rsidP="00E67090" w14:paraId="23048CEC" w14:textId="77777777"/>
        </w:tc>
      </w:tr>
      <w:tr w14:paraId="47176B2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716B63D2" w14:textId="3867A1E6">
            <w:r>
              <w:rPr>
                <w:noProof/>
              </w:rPr>
              <w:t>Gjøre rede for og bruke kvalitetssikringssystemer, dokumentere</w:t>
            </w:r>
            <w:r>
              <w:rPr>
                <w:rFonts w:ascii="Arial" w:hAnsi="Arial" w:cs="Arial"/>
                <w:noProof/>
              </w:rPr>
              <w:t> </w:t>
            </w:r>
            <w:r>
              <w:rPr>
                <w:noProof/>
              </w:rPr>
              <w:t>eget arbeid og h</w:t>
            </w:r>
            <w:r>
              <w:rPr>
                <w:rFonts w:ascii="Aptos" w:hAnsi="Aptos" w:cs="Aptos"/>
                <w:noProof/>
              </w:rPr>
              <w:t>å</w:t>
            </w:r>
            <w:r>
              <w:rPr>
                <w:noProof/>
              </w:rPr>
              <w:t>ndtere avvik</w:t>
            </w:r>
          </w:p>
        </w:tc>
        <w:tc>
          <w:tcPr>
            <w:tcW w:w="2835" w:type="dxa"/>
          </w:tcPr>
          <w:p w:rsidR="00D969FF" w:rsidP="00E67090" w14:paraId="3FE17377" w14:textId="77777777"/>
        </w:tc>
      </w:tr>
      <w:tr w14:paraId="5530DC5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6875B517" w14:textId="680912D7">
            <w:r>
              <w:rPr>
                <w:noProof/>
              </w:rPr>
              <w:t>Bruke verne- og sikkerhetsutstyr og vurdere konsekvensene av feil bruk</w:t>
            </w:r>
          </w:p>
        </w:tc>
        <w:tc>
          <w:tcPr>
            <w:tcW w:w="2835" w:type="dxa"/>
          </w:tcPr>
          <w:p w:rsidR="00D969FF" w:rsidP="00E67090" w14:paraId="06B126F9" w14:textId="77777777"/>
        </w:tc>
      </w:tr>
      <w:tr w14:paraId="2A90997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4E821D85" w14:textId="7E05FBF9">
            <w:r>
              <w:rPr>
                <w:noProof/>
              </w:rPr>
              <w:t>Utføre grunnleggende førstehjelp.</w:t>
            </w:r>
          </w:p>
        </w:tc>
        <w:tc>
          <w:tcPr>
            <w:tcW w:w="2835" w:type="dxa"/>
          </w:tcPr>
          <w:p w:rsidR="00D969FF" w:rsidP="00E67090" w14:paraId="70B35353" w14:textId="77777777"/>
        </w:tc>
      </w:tr>
      <w:tr w14:paraId="6FDF77F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085BCC30" w14:textId="17C9B713">
            <w:r>
              <w:rPr>
                <w:noProof/>
              </w:rPr>
              <w:t>Arbeide i tråd med ergonomiske prinsipper og reflektere over konsekvenser av støy, vibrasjon, varme, farlige stoffer og støveksponering</w:t>
            </w:r>
          </w:p>
        </w:tc>
        <w:tc>
          <w:tcPr>
            <w:tcW w:w="2835" w:type="dxa"/>
          </w:tcPr>
          <w:p w:rsidR="00D969FF" w:rsidP="00E67090" w14:paraId="44B50722" w14:textId="77777777"/>
        </w:tc>
      </w:tr>
      <w:tr w14:paraId="33DE077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6B095B86" w14:textId="60F6868E">
            <w:r>
              <w:rPr>
                <w:noProof/>
              </w:rPr>
              <w:t>Håndtere avfall etter gjeldende regelverk og vurdere konsekvenser av feil håndtering</w:t>
            </w:r>
          </w:p>
        </w:tc>
        <w:tc>
          <w:tcPr>
            <w:tcW w:w="2835" w:type="dxa"/>
          </w:tcPr>
          <w:p w:rsidR="00D969FF" w:rsidP="00E67090" w14:paraId="61091100" w14:textId="77777777"/>
        </w:tc>
      </w:tr>
      <w:tr w14:paraId="2072D76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67D036BE" w14:textId="26EB977C">
            <w:r>
              <w:rPr>
                <w:noProof/>
              </w:rPr>
              <w:t>Kildesortere avfall etter gjeldende regelverk og iverksette tiltak for gjenbruk av stålmateriell</w:t>
            </w:r>
          </w:p>
        </w:tc>
        <w:tc>
          <w:tcPr>
            <w:tcW w:w="2835" w:type="dxa"/>
          </w:tcPr>
          <w:p w:rsidR="00D969FF" w:rsidP="00E67090" w14:paraId="39D0F5CF" w14:textId="77777777"/>
        </w:tc>
      </w:tr>
      <w:tr w14:paraId="5C6964A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70BF202D" w14:textId="412C9725">
            <w:r>
              <w:rPr>
                <w:noProof/>
              </w:rPr>
              <w:t>Bruke fagterminologi i kommunikasjon med kolleger og andre yrkesutøvere, drøfte ulike løsninger som bidrar til å redusere miljøavtrykket, og sikre effektiv ressursutnyttelse</w:t>
            </w:r>
          </w:p>
        </w:tc>
        <w:tc>
          <w:tcPr>
            <w:tcW w:w="2835" w:type="dxa"/>
          </w:tcPr>
          <w:p w:rsidR="00D969FF" w:rsidP="00E67090" w14:paraId="6F42454C" w14:textId="77777777"/>
        </w:tc>
      </w:tr>
      <w:tr w14:paraId="34D1C1C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52463D3E" w14:textId="6B4AA6F3">
            <w:r>
              <w:rPr>
                <w:noProof/>
              </w:rPr>
              <w:t xml:space="preserve">Arbeide etter regelverk og avtaler som regulerer arbeidsforholdet i faget, gjøre rede for arbeidsgivers og arbeidstakers plikter og rettigheter og reflektere over hvilke krav og forventinger som stilles til et likeverdig og </w:t>
            </w:r>
            <w:r>
              <w:rPr>
                <w:noProof/>
              </w:rPr>
              <w:t>inkluderende yrkesfellesskap</w:t>
            </w:r>
          </w:p>
        </w:tc>
        <w:tc>
          <w:tcPr>
            <w:tcW w:w="2835" w:type="dxa"/>
          </w:tcPr>
          <w:p w:rsidR="00D969FF" w:rsidP="00E67090" w14:paraId="6BA85BAC" w14:textId="77777777"/>
        </w:tc>
      </w:tr>
      <w:tr w14:paraId="2E42FBF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6E02F515" w14:textId="0186CBA6">
            <w:r>
              <w:rPr>
                <w:noProof/>
              </w:rPr>
              <w:t>Velge og bruke pele-, spuntutstyr og boreutstyr tilpasset arbeidsoppgaven og gjøre rede for hvordan geotekniske forhold og ytre omgivelser kan påvirke valg av utstyr</w:t>
            </w:r>
          </w:p>
        </w:tc>
        <w:tc>
          <w:tcPr>
            <w:tcW w:w="2835" w:type="dxa"/>
          </w:tcPr>
          <w:p w:rsidR="00D969FF" w:rsidP="00E67090" w14:paraId="02811D05" w14:textId="77777777"/>
        </w:tc>
      </w:tr>
      <w:tr w14:paraId="7EA8F88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5ACA1B70" w14:textId="35AB479A">
            <w:r>
              <w:rPr>
                <w:noProof/>
              </w:rPr>
              <w:t>Gjøre rede for hvordan kalksementpeler og jetpeler kan brukes i grunnforsterkning og reflekter over hvordan ulike egenskaper i byggegrunnen påvirker valg av metode</w:t>
            </w:r>
          </w:p>
        </w:tc>
        <w:tc>
          <w:tcPr>
            <w:tcW w:w="2835" w:type="dxa"/>
          </w:tcPr>
          <w:p w:rsidR="00D969FF" w:rsidP="00E67090" w14:paraId="168B7234" w14:textId="77777777"/>
        </w:tc>
      </w:tr>
      <w:tr w14:paraId="7AE6A0F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335413E3" w14:textId="583CA767">
            <w:r>
              <w:rPr>
                <w:noProof/>
              </w:rPr>
              <w:t>Velge boremetoder for ulike grunnforhold og vurdere risikofaktorer ved boring med luft</w:t>
            </w:r>
          </w:p>
        </w:tc>
        <w:tc>
          <w:tcPr>
            <w:tcW w:w="2835" w:type="dxa"/>
          </w:tcPr>
          <w:p w:rsidR="00D969FF" w:rsidP="00E67090" w14:paraId="3B8BBD36" w14:textId="77777777"/>
        </w:tc>
      </w:tr>
      <w:tr w14:paraId="4EBAC97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7CBA60EC" w14:textId="53506948">
            <w:r>
              <w:rPr>
                <w:noProof/>
              </w:rPr>
              <w:t>Montere stålbjelker med avstivingssystemer og stålkonstruksjoner i henhold til prosjektbeskrivelsen og gjøre rede for konsekvenser av å ikke følge arbeidsgrunnlaget</w:t>
            </w:r>
          </w:p>
        </w:tc>
        <w:tc>
          <w:tcPr>
            <w:tcW w:w="2835" w:type="dxa"/>
          </w:tcPr>
          <w:p w:rsidR="00D969FF" w:rsidP="00E67090" w14:paraId="1525304D" w14:textId="77777777"/>
        </w:tc>
      </w:tr>
      <w:tr w14:paraId="629AA2C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6ECFF614" w14:textId="128EBCBA">
            <w:r>
              <w:rPr>
                <w:noProof/>
              </w:rPr>
              <w:t>Montere spennstag for temporære og permanente utførelser</w:t>
            </w:r>
          </w:p>
        </w:tc>
        <w:tc>
          <w:tcPr>
            <w:tcW w:w="2835" w:type="dxa"/>
          </w:tcPr>
          <w:p w:rsidR="00D969FF" w:rsidP="00E67090" w14:paraId="3B205647" w14:textId="77777777"/>
        </w:tc>
      </w:tr>
      <w:tr w14:paraId="1D57727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6162B275" w14:textId="37364D1E">
            <w:r>
              <w:rPr>
                <w:noProof/>
              </w:rPr>
              <w:t>Utarbeide spennlister, montere og spenne opp forankringer og avstivere og vurdere hvordan krefter og laster påvirker operasjonen</w:t>
            </w:r>
          </w:p>
        </w:tc>
        <w:tc>
          <w:tcPr>
            <w:tcW w:w="2835" w:type="dxa"/>
          </w:tcPr>
          <w:p w:rsidR="00D969FF" w:rsidP="00E67090" w14:paraId="2265255F" w14:textId="77777777"/>
        </w:tc>
      </w:tr>
      <w:tr w14:paraId="79A3C7C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3ECE5D73" w14:textId="63D1360F">
            <w:r>
              <w:rPr>
                <w:noProof/>
              </w:rPr>
              <w:t>Montere og installere stålkjernepeler i tråd med prosessbeskrivelser, standarder og bransjespesifikke veiledninger</w:t>
            </w:r>
          </w:p>
        </w:tc>
        <w:tc>
          <w:tcPr>
            <w:tcW w:w="2835" w:type="dxa"/>
          </w:tcPr>
          <w:p w:rsidR="00D969FF" w:rsidP="00E67090" w14:paraId="0DE3DD0C" w14:textId="77777777"/>
        </w:tc>
      </w:tr>
      <w:tr w14:paraId="0D7CF4F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1B344D3A" w14:textId="4E4582B5">
            <w:r>
              <w:rPr>
                <w:noProof/>
              </w:rPr>
              <w:t>Kappe stålpeler ved bruk av kaldsaging og gjøre rede for hvordan valg av kappemetode kan påvirke sluttproduktet</w:t>
            </w:r>
          </w:p>
        </w:tc>
        <w:tc>
          <w:tcPr>
            <w:tcW w:w="2835" w:type="dxa"/>
          </w:tcPr>
          <w:p w:rsidR="00D969FF" w:rsidP="00E67090" w14:paraId="4083706E" w14:textId="77777777"/>
        </w:tc>
      </w:tr>
      <w:tr w14:paraId="440B02F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0DCD983F" w14:textId="2977338D">
            <w:r>
              <w:rPr>
                <w:noProof/>
              </w:rPr>
              <w:t>Blande gysemasse i ulike resepter, ta prøver av injeksjonsmasse etter byggherrens funksjonskrav og gjøre rede for tiltak som sikrer høy kvalitet og lang levetid på produktene</w:t>
            </w:r>
          </w:p>
        </w:tc>
        <w:tc>
          <w:tcPr>
            <w:tcW w:w="2835" w:type="dxa"/>
          </w:tcPr>
          <w:p w:rsidR="00D969FF" w:rsidP="00E67090" w14:paraId="2356626F" w14:textId="77777777"/>
        </w:tc>
      </w:tr>
      <w:tr w14:paraId="4403469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757E3C09" w14:textId="19F95EC0">
            <w:r>
              <w:rPr>
                <w:noProof/>
              </w:rPr>
              <w:t>Måle vanntapet i borehull, tolke måleresultatet, og iverksette injeksjon for tetting i berg ved vanntap</w:t>
            </w:r>
          </w:p>
        </w:tc>
        <w:tc>
          <w:tcPr>
            <w:tcW w:w="2835" w:type="dxa"/>
          </w:tcPr>
          <w:p w:rsidR="00D969FF" w:rsidP="00E67090" w14:paraId="06D211D8" w14:textId="77777777"/>
        </w:tc>
      </w:tr>
      <w:tr w14:paraId="3D487B0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4CB7CE65" w14:textId="45AB9EF2">
            <w:r>
              <w:rPr>
                <w:noProof/>
              </w:rPr>
              <w:t>Gjennomføre fordyblingsboring og montere dybel for spuntfot</w:t>
            </w:r>
          </w:p>
        </w:tc>
        <w:tc>
          <w:tcPr>
            <w:tcW w:w="2835" w:type="dxa"/>
          </w:tcPr>
          <w:p w:rsidR="00D969FF" w:rsidP="00E67090" w14:paraId="4275D3BB" w14:textId="77777777"/>
        </w:tc>
      </w:tr>
      <w:tr w14:paraId="09475DA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20A3DFE8" w14:textId="0E55A491">
            <w:r>
              <w:rPr>
                <w:noProof/>
              </w:rPr>
              <w:t>Lese av synk og måle bevegelse ved stoppramming og beregne bæreevne på pelen ved bruk av rammeformelen på peletyper</w:t>
            </w:r>
          </w:p>
        </w:tc>
        <w:tc>
          <w:tcPr>
            <w:tcW w:w="2835" w:type="dxa"/>
          </w:tcPr>
          <w:p w:rsidR="00D969FF" w:rsidP="00E67090" w14:paraId="49D19B80" w14:textId="77777777"/>
        </w:tc>
      </w:tr>
      <w:tr w14:paraId="668D395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11DFEB6B" w14:textId="6AC45DA1">
            <w:r>
              <w:rPr>
                <w:noProof/>
              </w:rPr>
              <w:t>Losse og lagre materialer og utstyr</w:t>
            </w:r>
          </w:p>
        </w:tc>
        <w:tc>
          <w:tcPr>
            <w:tcW w:w="2835" w:type="dxa"/>
          </w:tcPr>
          <w:p w:rsidR="00D969FF" w:rsidP="00E67090" w14:paraId="565719FF" w14:textId="77777777"/>
        </w:tc>
      </w:tr>
      <w:tr w14:paraId="21C34CB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52DD48B8" w14:textId="2942C82C">
            <w:r>
              <w:rPr>
                <w:noProof/>
              </w:rPr>
              <w:t>Motta varer og kontrollere mengde og kvalitet i henhold til bestilling og arbeidsgrunnlag</w:t>
            </w:r>
          </w:p>
        </w:tc>
        <w:tc>
          <w:tcPr>
            <w:tcW w:w="2835" w:type="dxa"/>
          </w:tcPr>
          <w:p w:rsidR="00D969FF" w:rsidP="00E67090" w14:paraId="0E3BA8B1" w14:textId="77777777"/>
        </w:tc>
      </w:tr>
      <w:tr w14:paraId="76EBBA16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5C62EE15" w14:textId="3BB28C83">
            <w:r>
              <w:rPr>
                <w:noProof/>
              </w:rPr>
              <w:t>Utføre daglig kontroll og vedlikehold av maskiner og utstyr</w:t>
            </w:r>
          </w:p>
        </w:tc>
        <w:tc>
          <w:tcPr>
            <w:tcW w:w="2835" w:type="dxa"/>
          </w:tcPr>
          <w:p w:rsidR="00D969FF" w:rsidP="00E67090" w14:paraId="5A548128" w14:textId="77777777"/>
        </w:tc>
      </w:tr>
      <w:tr w14:paraId="0F919B1B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4C4EE709" w14:textId="6A0EBE49">
            <w:r>
              <w:rPr>
                <w:noProof/>
              </w:rPr>
              <w:t>Vurdere hvordan værforhold og årstider kan påvirke fundamenteringsarbeid på sjø</w:t>
            </w:r>
          </w:p>
        </w:tc>
        <w:tc>
          <w:tcPr>
            <w:tcW w:w="2835" w:type="dxa"/>
          </w:tcPr>
          <w:p w:rsidR="00D969FF" w:rsidP="00E67090" w14:paraId="0A0226A7" w14:textId="77777777"/>
        </w:tc>
      </w:tr>
      <w:tr w14:paraId="0B4C0FA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D969FF" w:rsidP="00E67090" w14:paraId="5FF80464" w14:textId="77777777"/>
        </w:tc>
        <w:tc>
          <w:tcPr>
            <w:tcW w:w="2835" w:type="dxa"/>
          </w:tcPr>
          <w:p w:rsidR="00D969FF" w:rsidP="00E67090" w14:paraId="48CD6943" w14:textId="77777777"/>
        </w:tc>
      </w:tr>
    </w:tbl>
    <w:p w:rsidR="00D969FF" w:rsidP="00CB42CB" w14:paraId="00003044" w14:textId="77777777">
      <w:pPr>
        <w:sectPr w:rsidSect="00D969FF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D969FF" w:rsidRPr="00EC5D6F" w:rsidP="00CB42CB" w14:paraId="22484A97" w14:textId="77777777"/>
    <w:sectPr w:rsidSect="00D969F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13177F"/>
    <w:rsid w:val="00131C4A"/>
    <w:rsid w:val="00133523"/>
    <w:rsid w:val="00150F02"/>
    <w:rsid w:val="001649F5"/>
    <w:rsid w:val="001F339D"/>
    <w:rsid w:val="00230408"/>
    <w:rsid w:val="0023585C"/>
    <w:rsid w:val="002401B6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926C9"/>
    <w:rsid w:val="004B3FE3"/>
    <w:rsid w:val="004C3242"/>
    <w:rsid w:val="005263BD"/>
    <w:rsid w:val="005268BB"/>
    <w:rsid w:val="005518EC"/>
    <w:rsid w:val="005751E5"/>
    <w:rsid w:val="005A5E58"/>
    <w:rsid w:val="005B1D49"/>
    <w:rsid w:val="005E1AAE"/>
    <w:rsid w:val="005E6D5E"/>
    <w:rsid w:val="00680F4E"/>
    <w:rsid w:val="00697D3A"/>
    <w:rsid w:val="006A13C1"/>
    <w:rsid w:val="006A4979"/>
    <w:rsid w:val="0077093C"/>
    <w:rsid w:val="00783BAD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53080"/>
    <w:rsid w:val="009D4311"/>
    <w:rsid w:val="009F0F5B"/>
    <w:rsid w:val="00A4496E"/>
    <w:rsid w:val="00A47F53"/>
    <w:rsid w:val="00A610D4"/>
    <w:rsid w:val="00A67F53"/>
    <w:rsid w:val="00A71B33"/>
    <w:rsid w:val="00AA75C8"/>
    <w:rsid w:val="00AC2754"/>
    <w:rsid w:val="00B075F2"/>
    <w:rsid w:val="00B10D93"/>
    <w:rsid w:val="00B1647E"/>
    <w:rsid w:val="00B30DED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D969FF"/>
    <w:rsid w:val="00E048EF"/>
    <w:rsid w:val="00E215F4"/>
    <w:rsid w:val="00E67090"/>
    <w:rsid w:val="00E85E36"/>
    <w:rsid w:val="00EC5D6F"/>
    <w:rsid w:val="00EE4E15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A11037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Fundamenteringsfaget</dc:title>
  <dc:creator>Marius Løvdal</dc:creator>
  <cp:lastModifiedBy>Marius Løvdal</cp:lastModifiedBy>
  <cp:revision>1</cp:revision>
  <dcterms:created xsi:type="dcterms:W3CDTF">2025-03-27T08:06:00Z</dcterms:created>
  <dcterms:modified xsi:type="dcterms:W3CDTF">2025-03-27T08:07:00Z</dcterms:modified>
</cp:coreProperties>
</file>