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160C6D" w:rsidP="00E67090" w14:paraId="7FF48FE0" w14:textId="77777777">
      <w:pPr>
        <w:pStyle w:val="Title"/>
      </w:pPr>
      <w:r>
        <w:t>Egenevaluering av kompetanse</w:t>
      </w:r>
    </w:p>
    <w:p w:rsidR="00160C6D" w:rsidP="00F0671C" w14:paraId="644090B7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160C6D" w:rsidRPr="00953080" w:rsidP="002A1FFE" w14:paraId="1BFC9E90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6D909D3A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160C6D" w:rsidRPr="00FF7CF8" w:rsidP="00C055A6" w14:paraId="455BCB3C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3FF8CCD3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160C6D" w:rsidP="00B1647E" w14:paraId="5FECB181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160C6D" w:rsidP="00B1647E" w14:paraId="16629063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160C6D" w:rsidP="00B1647E" w14:paraId="5E49D65E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160C6D" w:rsidP="00B1647E" w14:paraId="51B1BB06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160C6D" w:rsidP="00B1647E" w14:paraId="2A60BE15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160C6D" w:rsidP="00B1647E" w14:paraId="5C68EA7E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160C6D" w:rsidRPr="008C1F87" w:rsidP="008C1F87" w14:paraId="46D68774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6A5C0EC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RPr="00E67090" w:rsidP="00274EA2" w14:paraId="2F174DF3" w14:textId="77777777">
            <w:r w:rsidRPr="001115AE">
              <w:rPr>
                <w:noProof/>
              </w:rPr>
              <w:t>Vg3 fjell- og bergverksfaget (FJE03</w:t>
            </w:r>
            <w:r w:rsidRPr="001115AE">
              <w:rPr>
                <w:rFonts w:ascii="Cambria Math" w:hAnsi="Cambria Math" w:cs="Cambria Math"/>
                <w:noProof/>
              </w:rPr>
              <w:t>‑</w:t>
            </w:r>
            <w:r w:rsidRPr="001115AE">
              <w:rPr>
                <w:noProof/>
              </w:rPr>
              <w:t>03) fjellsikring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160C6D" w:rsidP="003D3660" w14:paraId="2C1630D4" w14:textId="77777777">
            <w:r>
              <w:t>Min kompetanse 1-6</w:t>
            </w:r>
          </w:p>
        </w:tc>
      </w:tr>
      <w:tr w14:paraId="54C94DA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68AFD95C" w14:textId="77777777">
            <w:r>
              <w:rPr>
                <w:noProof/>
              </w:rPr>
              <w:t>planleggje å bruke maskiner, sprengstoff og utstyr i grunnarbeid, mineraluttak og sikring av fjell, arbeide etter teikningar, beskrivingar og preaksepterte løysingar og vurdere arbeidet med tanke på arbeidsoppdraget, kostnadseffektiviteten og miljøet</w:t>
            </w:r>
          </w:p>
        </w:tc>
        <w:tc>
          <w:tcPr>
            <w:tcW w:w="2835" w:type="dxa"/>
          </w:tcPr>
          <w:p w:rsidR="00160C6D" w:rsidP="00E67090" w14:paraId="3D327BEF" w14:textId="77777777"/>
        </w:tc>
      </w:tr>
      <w:tr w14:paraId="1B94AB7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49B5B51F" w14:textId="77777777">
            <w:r>
              <w:rPr>
                <w:noProof/>
              </w:rPr>
              <w:t>utarbeide framtidsplanar, bestille, ta imot, handtere og lagre råvarer og materiale og kontrollere kvalitet og mengd i tråd med arbeidsoppdraget</w:t>
            </w:r>
          </w:p>
        </w:tc>
        <w:tc>
          <w:tcPr>
            <w:tcW w:w="2835" w:type="dxa"/>
          </w:tcPr>
          <w:p w:rsidR="00160C6D" w:rsidP="00E67090" w14:paraId="5AF246D8" w14:textId="77777777"/>
        </w:tc>
      </w:tr>
      <w:tr w14:paraId="2CB0D12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31834D73" w14:textId="77777777">
            <w:r>
              <w:rPr>
                <w:noProof/>
              </w:rPr>
              <w:t>velje verktøy og materiale og vurdere kostnader, tidsbruk og miljøomsyn i arbeidet</w:t>
            </w:r>
          </w:p>
        </w:tc>
        <w:tc>
          <w:tcPr>
            <w:tcW w:w="2835" w:type="dxa"/>
          </w:tcPr>
          <w:p w:rsidR="00160C6D" w:rsidP="00E67090" w14:paraId="153EFE5C" w14:textId="77777777"/>
        </w:tc>
      </w:tr>
      <w:tr w14:paraId="2C1A409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1653EAA8" w14:textId="77777777">
            <w:r>
              <w:rPr>
                <w:noProof/>
              </w:rPr>
              <w:t>bruke og halde ved like utstyr og maskiner for boring i fjell etter gjeldande regelverk og reflektere over ulike faktorar som påverkar miljø og kostnadseffektivitet</w:t>
            </w:r>
          </w:p>
        </w:tc>
        <w:tc>
          <w:tcPr>
            <w:tcW w:w="2835" w:type="dxa"/>
          </w:tcPr>
          <w:p w:rsidR="00160C6D" w:rsidP="00E67090" w14:paraId="2C5DF8B0" w14:textId="77777777"/>
        </w:tc>
      </w:tr>
      <w:tr w14:paraId="0A558E0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062DCE96" w14:textId="77777777">
            <w:r>
              <w:rPr>
                <w:noProof/>
              </w:rPr>
              <w:t>gjere greie for og bruke kvalitetssikringssystem, dokumentere arbeidet i tråd med gjeldande krav for helse, miljø og sikkerheit og toleransekrav og reflektere over konsekvensane ved å ikkje følgje krava</w:t>
            </w:r>
          </w:p>
        </w:tc>
        <w:tc>
          <w:tcPr>
            <w:tcW w:w="2835" w:type="dxa"/>
          </w:tcPr>
          <w:p w:rsidR="00160C6D" w:rsidP="00E67090" w14:paraId="265AF429" w14:textId="77777777"/>
        </w:tc>
      </w:tr>
      <w:tr w14:paraId="53A9D14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0F377BAA" w14:textId="77777777">
            <w:r>
              <w:rPr>
                <w:noProof/>
              </w:rPr>
              <w:t>arbeide etter regelverk og avtalar som regulerer arbeidsforholdet i faget, gjere greie for pliktene og rettane til arbeidsgivaren og arbeidstakaren og reflektere over krav og forventningar som blir stilte til eit likeverdig og inkluderande yrkesfellesskap</w:t>
            </w:r>
          </w:p>
        </w:tc>
        <w:tc>
          <w:tcPr>
            <w:tcW w:w="2835" w:type="dxa"/>
          </w:tcPr>
          <w:p w:rsidR="00160C6D" w:rsidP="00E67090" w14:paraId="5E8FF4A9" w14:textId="77777777"/>
        </w:tc>
      </w:tr>
      <w:tr w14:paraId="6BB581F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34CF9C57" w14:textId="77777777">
            <w:r>
              <w:rPr>
                <w:noProof/>
              </w:rPr>
              <w:t>risikovurdere arbeidsoppdrag, gjennomføre ein sikker jobbanalyse og rapportere om uønskte hendingar</w:t>
            </w:r>
          </w:p>
        </w:tc>
        <w:tc>
          <w:tcPr>
            <w:tcW w:w="2835" w:type="dxa"/>
          </w:tcPr>
          <w:p w:rsidR="00160C6D" w:rsidP="00E67090" w14:paraId="1BAD8AE0" w14:textId="77777777"/>
        </w:tc>
      </w:tr>
      <w:tr w14:paraId="50A9F74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2D481C0D" w14:textId="77777777">
            <w:r>
              <w:rPr>
                <w:noProof/>
              </w:rPr>
              <w:t>kjeldesortere, vurdere om gjenbruk er mogleg, handtere avfall og reflektere over konsekvensar av feilhandtering</w:t>
            </w:r>
          </w:p>
        </w:tc>
        <w:tc>
          <w:tcPr>
            <w:tcW w:w="2835" w:type="dxa"/>
          </w:tcPr>
          <w:p w:rsidR="00160C6D" w:rsidP="00E67090" w14:paraId="4268FC75" w14:textId="77777777"/>
        </w:tc>
      </w:tr>
      <w:tr w14:paraId="46B4EB7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237F8841" w14:textId="77777777">
            <w:r>
              <w:rPr>
                <w:noProof/>
              </w:rPr>
              <w:t>bruke fagterminologi i kommunikasjonen med kollegaer og andre yrkesutøvarar og drøfte ulike løysingar som medverkar til å minimere miljøavtrykket og sikre effektiv ressursutnytting</w:t>
            </w:r>
          </w:p>
        </w:tc>
        <w:tc>
          <w:tcPr>
            <w:tcW w:w="2835" w:type="dxa"/>
          </w:tcPr>
          <w:p w:rsidR="00160C6D" w:rsidP="00E67090" w14:paraId="6E9AE0F4" w14:textId="77777777"/>
        </w:tc>
      </w:tr>
      <w:tr w14:paraId="36B68B1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25B96987" w14:textId="77777777">
            <w:r>
              <w:rPr>
                <w:noProof/>
              </w:rPr>
              <w:t>gjere greie for farar ved bruk av sprengstoff og tennmiddel og setje i verk tiltak som hindrar personskadar og skadar på materiell</w:t>
            </w:r>
          </w:p>
        </w:tc>
        <w:tc>
          <w:tcPr>
            <w:tcW w:w="2835" w:type="dxa"/>
          </w:tcPr>
          <w:p w:rsidR="00160C6D" w:rsidP="00E67090" w14:paraId="55123636" w14:textId="77777777"/>
        </w:tc>
      </w:tr>
      <w:tr w14:paraId="01F6452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140394AE" w14:textId="77777777">
            <w:r>
              <w:rPr>
                <w:noProof/>
              </w:rPr>
              <w:t>klassifisere mineral og bergartar, identifisere bruksområda deira og vurdere farar ved sikringsarbeid</w:t>
            </w:r>
          </w:p>
        </w:tc>
        <w:tc>
          <w:tcPr>
            <w:tcW w:w="2835" w:type="dxa"/>
          </w:tcPr>
          <w:p w:rsidR="00160C6D" w:rsidP="00E67090" w14:paraId="686B9314" w14:textId="77777777"/>
        </w:tc>
      </w:tr>
      <w:tr w14:paraId="394BA8B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5FC6B4D0" w14:textId="77777777">
            <w:r>
              <w:rPr>
                <w:noProof/>
              </w:rPr>
              <w:t>bruke kappe- og slipeutstyr til vedlikehald av borekroner, sikringsutstyr og kapping av boltar</w:t>
            </w:r>
          </w:p>
        </w:tc>
        <w:tc>
          <w:tcPr>
            <w:tcW w:w="2835" w:type="dxa"/>
          </w:tcPr>
          <w:p w:rsidR="00160C6D" w:rsidP="00E67090" w14:paraId="651387BF" w14:textId="77777777"/>
        </w:tc>
      </w:tr>
      <w:tr w14:paraId="6DEEB37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269457C3" w14:textId="77777777">
            <w:r>
              <w:rPr>
                <w:noProof/>
              </w:rPr>
              <w:t>arbeide i tråd med ergonomiske prinsipp og reflektere over konsekvensar av støy, vibrasjonar og støveksponering</w:t>
            </w:r>
          </w:p>
        </w:tc>
        <w:tc>
          <w:tcPr>
            <w:tcW w:w="2835" w:type="dxa"/>
          </w:tcPr>
          <w:p w:rsidR="00160C6D" w:rsidP="00E67090" w14:paraId="23F7A12B" w14:textId="77777777"/>
        </w:tc>
      </w:tr>
      <w:tr w14:paraId="2E435CF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79684CBF" w14:textId="77777777">
            <w:r>
              <w:rPr>
                <w:noProof/>
              </w:rPr>
              <w:t>utføre arbeidsvarsling i samsvar med gjeldande regelverk og vurdere kva risikofaktorar under og etter arbeid som kan påverke sikkerheita for ein sjølv og andre og trafikkavviklinga</w:t>
            </w:r>
          </w:p>
        </w:tc>
        <w:tc>
          <w:tcPr>
            <w:tcW w:w="2835" w:type="dxa"/>
          </w:tcPr>
          <w:p w:rsidR="00160C6D" w:rsidP="00E67090" w14:paraId="31553E4A" w14:textId="77777777"/>
        </w:tc>
      </w:tr>
      <w:tr w14:paraId="0A2E4F7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6951955D" w14:textId="77777777">
            <w:r>
              <w:rPr>
                <w:noProof/>
              </w:rPr>
              <w:t>vurdere og gjennomføre sikkerheitstiltak ved arbeid i høgda og sikre risikoutsette arbeidssituasjonar</w:t>
            </w:r>
          </w:p>
        </w:tc>
        <w:tc>
          <w:tcPr>
            <w:tcW w:w="2835" w:type="dxa"/>
          </w:tcPr>
          <w:p w:rsidR="00160C6D" w:rsidP="00E67090" w14:paraId="79DC0EBD" w14:textId="77777777"/>
        </w:tc>
      </w:tr>
      <w:tr w14:paraId="371ABB2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2DAB43CD" w14:textId="77777777">
            <w:r>
              <w:rPr>
                <w:noProof/>
              </w:rPr>
              <w:t>bruke verne- og sikringsutstyr og vurdere konsekvensane av feilbruk</w:t>
            </w:r>
          </w:p>
        </w:tc>
        <w:tc>
          <w:tcPr>
            <w:tcW w:w="2835" w:type="dxa"/>
          </w:tcPr>
          <w:p w:rsidR="00160C6D" w:rsidP="00E67090" w14:paraId="1E54D276" w14:textId="77777777"/>
        </w:tc>
      </w:tr>
      <w:tr w14:paraId="79E5617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178BA409" w14:textId="77777777">
            <w:r>
              <w:rPr>
                <w:noProof/>
              </w:rPr>
              <w:t>vurdere farar ved forsagarar, varsle om fare og setje i verk tiltak for å unngå skadar</w:t>
            </w:r>
          </w:p>
        </w:tc>
        <w:tc>
          <w:tcPr>
            <w:tcW w:w="2835" w:type="dxa"/>
          </w:tcPr>
          <w:p w:rsidR="00160C6D" w:rsidP="00E67090" w14:paraId="6320BC51" w14:textId="77777777"/>
        </w:tc>
      </w:tr>
      <w:tr w14:paraId="153CDB5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6FD8FD9A" w14:textId="77777777">
            <w:r>
              <w:rPr>
                <w:noProof/>
              </w:rPr>
              <w:t>gjere greie for bruk og vedlikehald av knuse- og sikteutstyr</w:t>
            </w:r>
          </w:p>
        </w:tc>
        <w:tc>
          <w:tcPr>
            <w:tcW w:w="2835" w:type="dxa"/>
          </w:tcPr>
          <w:p w:rsidR="00160C6D" w:rsidP="00E67090" w14:paraId="7285E205" w14:textId="77777777"/>
        </w:tc>
      </w:tr>
      <w:tr w14:paraId="6274733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5AB8813C" w14:textId="77777777">
            <w:r>
              <w:rPr>
                <w:noProof/>
              </w:rPr>
              <w:t>vurdere eigenskapar ved fjellet, rydde for lausstein og setje i verk mellombelse og permanente sikringstiltak før og etter sprenging, over og under jord</w:t>
            </w:r>
          </w:p>
        </w:tc>
        <w:tc>
          <w:tcPr>
            <w:tcW w:w="2835" w:type="dxa"/>
          </w:tcPr>
          <w:p w:rsidR="00160C6D" w:rsidP="00E67090" w14:paraId="7342BDB3" w14:textId="77777777"/>
        </w:tc>
      </w:tr>
      <w:tr w14:paraId="4EA3925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2875C4B4" w14:textId="77777777">
            <w:r>
              <w:rPr>
                <w:noProof/>
              </w:rPr>
              <w:t>bruke kappe- og slipeutstyr til vedlikehald av borekroner, boltar og sikringsutstyr</w:t>
            </w:r>
          </w:p>
        </w:tc>
        <w:tc>
          <w:tcPr>
            <w:tcW w:w="2835" w:type="dxa"/>
          </w:tcPr>
          <w:p w:rsidR="00160C6D" w:rsidP="00E67090" w14:paraId="4907E330" w14:textId="77777777"/>
        </w:tc>
      </w:tr>
      <w:tr w14:paraId="13764A7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7430D3C9" w14:textId="77777777">
            <w:r>
              <w:rPr>
                <w:noProof/>
              </w:rPr>
              <w:t>utføre grunnleggjande førstehjelp</w:t>
            </w:r>
          </w:p>
        </w:tc>
        <w:tc>
          <w:tcPr>
            <w:tcW w:w="2835" w:type="dxa"/>
          </w:tcPr>
          <w:p w:rsidR="00160C6D" w:rsidP="00E67090" w14:paraId="1039C63A" w14:textId="77777777"/>
        </w:tc>
      </w:tr>
      <w:tr w14:paraId="5D2C626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3C132480" w14:textId="77777777">
            <w:r>
              <w:rPr>
                <w:noProof/>
              </w:rPr>
              <w:t>velje personleg sikringsutstyr etter kva type arbeidsoperasjon det er, og bruke utstyret etter gjeldande regelverk</w:t>
            </w:r>
          </w:p>
        </w:tc>
        <w:tc>
          <w:tcPr>
            <w:tcW w:w="2835" w:type="dxa"/>
          </w:tcPr>
          <w:p w:rsidR="00160C6D" w:rsidP="00E67090" w14:paraId="456C0C9B" w14:textId="77777777"/>
        </w:tc>
      </w:tr>
      <w:tr w14:paraId="3B6DC73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0AC92B26" w14:textId="77777777">
            <w:r>
              <w:rPr>
                <w:noProof/>
              </w:rPr>
              <w:t>vurdere tilstanden til fjellet, velje boltar og sikringsutstyr og drøfte kva faktorar som kan utløyse ras</w:t>
            </w:r>
          </w:p>
        </w:tc>
        <w:tc>
          <w:tcPr>
            <w:tcW w:w="2835" w:type="dxa"/>
          </w:tcPr>
          <w:p w:rsidR="00160C6D" w:rsidP="00E67090" w14:paraId="6288F6B7" w14:textId="77777777"/>
        </w:tc>
      </w:tr>
      <w:tr w14:paraId="70317FC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7D813331" w14:textId="77777777">
            <w:r>
              <w:rPr>
                <w:noProof/>
              </w:rPr>
              <w:t>vurdere korleis strøk og fall påverkar boltelengd og retning på bolten, bolte i fjell og estimere boltelengd</w:t>
            </w:r>
          </w:p>
        </w:tc>
        <w:tc>
          <w:tcPr>
            <w:tcW w:w="2835" w:type="dxa"/>
          </w:tcPr>
          <w:p w:rsidR="00160C6D" w:rsidP="00E67090" w14:paraId="6095DC4E" w14:textId="77777777"/>
        </w:tc>
      </w:tr>
      <w:tr w14:paraId="54BC8C2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35FF5D77" w14:textId="77777777">
            <w:r>
              <w:rPr>
                <w:noProof/>
              </w:rPr>
              <w:t>vurdere behovet for fagekspertise ut frå arbeidsbeskriving og eigenskapar ved arbeidsstaden</w:t>
            </w:r>
          </w:p>
        </w:tc>
        <w:tc>
          <w:tcPr>
            <w:tcW w:w="2835" w:type="dxa"/>
          </w:tcPr>
          <w:p w:rsidR="00160C6D" w:rsidP="00E67090" w14:paraId="20B1815D" w14:textId="77777777"/>
        </w:tc>
      </w:tr>
      <w:tr w14:paraId="29AEE52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605A6772" w14:textId="77777777">
            <w:r>
              <w:rPr>
                <w:noProof/>
              </w:rPr>
              <w:t>planleggje løfteoperasjonar, utføre anhuking, dirigere ved hjelp av handsignal og reflektere over konsekvensane av feil anhuking og signalgiving</w:t>
            </w:r>
          </w:p>
        </w:tc>
        <w:tc>
          <w:tcPr>
            <w:tcW w:w="2835" w:type="dxa"/>
          </w:tcPr>
          <w:p w:rsidR="00160C6D" w:rsidP="00E67090" w14:paraId="073F7D19" w14:textId="77777777"/>
        </w:tc>
      </w:tr>
      <w:tr w14:paraId="1324575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3599BE11" w14:textId="77777777">
            <w:r>
              <w:rPr>
                <w:noProof/>
              </w:rPr>
              <w:t>utføre spett- og spylerensk, setje i verk sikringstiltak og drøfte faktorar som kan påverke sikkerheita til ein sjølv og andre</w:t>
            </w:r>
          </w:p>
        </w:tc>
        <w:tc>
          <w:tcPr>
            <w:tcW w:w="2835" w:type="dxa"/>
          </w:tcPr>
          <w:p w:rsidR="00160C6D" w:rsidP="00E67090" w14:paraId="661D7527" w14:textId="77777777"/>
        </w:tc>
      </w:tr>
      <w:tr w14:paraId="5FF5BD2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60C6D" w:rsidP="00E67090" w14:paraId="7437C6AC" w14:textId="77777777">
            <w:r>
              <w:rPr>
                <w:noProof/>
              </w:rPr>
              <w:t>montere fjellboltar og stag, gjere greie for ulike forankringsmetodar og ulike typar boltar og stag og drøfte korleis val av materiale påverkar sluttresultatet</w:t>
            </w:r>
          </w:p>
        </w:tc>
        <w:tc>
          <w:tcPr>
            <w:tcW w:w="2835" w:type="dxa"/>
          </w:tcPr>
          <w:p w:rsidR="00160C6D" w:rsidP="00E67090" w14:paraId="1ACDB06B" w14:textId="77777777"/>
        </w:tc>
      </w:tr>
    </w:tbl>
    <w:p w:rsidR="00160C6D" w:rsidP="00CB42CB" w14:paraId="5E2AC837" w14:textId="77777777">
      <w:pPr>
        <w:sectPr w:rsidSect="00160C6D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60C6D" w:rsidRPr="00EC5D6F" w:rsidP="00CB42CB" w14:paraId="2A4FE07D" w14:textId="77777777"/>
    <w:sectPr w:rsidSect="00160C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115AE"/>
    <w:rsid w:val="0013177F"/>
    <w:rsid w:val="00131C4A"/>
    <w:rsid w:val="00133523"/>
    <w:rsid w:val="00150F02"/>
    <w:rsid w:val="00160C6D"/>
    <w:rsid w:val="001649F5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0FBD87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fjell- og bergverksfaget (FJE03‑03) fjellsikring</dc:title>
  <dc:creator>Marius Løvdal</dc:creator>
  <cp:lastModifiedBy>Marius Løvdal</cp:lastModifiedBy>
  <cp:revision>1</cp:revision>
  <dcterms:created xsi:type="dcterms:W3CDTF">2025-03-27T07:54:00Z</dcterms:created>
  <dcterms:modified xsi:type="dcterms:W3CDTF">2025-03-27T07:55:00Z</dcterms:modified>
</cp:coreProperties>
</file>