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ED7E3D" w:rsidP="00E67090" w14:paraId="75C51621" w14:textId="77777777">
      <w:pPr>
        <w:pStyle w:val="Title"/>
      </w:pPr>
      <w:r>
        <w:t>Egenevaluering av kompetanse</w:t>
      </w:r>
    </w:p>
    <w:p w:rsidR="00ED7E3D" w:rsidP="00F0671C" w14:paraId="24EEF2BD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ED7E3D" w:rsidRPr="00953080" w:rsidP="002A1FFE" w14:paraId="7DE31526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5D4A4557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ED7E3D" w:rsidRPr="00FF7CF8" w:rsidP="00C055A6" w14:paraId="0BAF4081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4D68079F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ED7E3D" w:rsidP="00B1647E" w14:paraId="05530874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ED7E3D" w:rsidP="00B1647E" w14:paraId="5D78088E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ED7E3D" w:rsidP="00B1647E" w14:paraId="60ED1530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ED7E3D" w:rsidP="00B1647E" w14:paraId="0252B7F8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ED7E3D" w:rsidP="00B1647E" w14:paraId="3A685D4A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ED7E3D" w:rsidP="00B1647E" w14:paraId="50CFC291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ED7E3D" w:rsidRPr="008C1F87" w:rsidP="008C1F87" w14:paraId="2AF93B86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40D1DE8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RPr="00E67090" w:rsidP="00274EA2" w14:paraId="366D5893" w14:textId="77777777">
            <w:r w:rsidRPr="00EE4E15">
              <w:rPr>
                <w:noProof/>
              </w:rPr>
              <w:t>Banemontørfaget (BAN03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ED7E3D" w:rsidP="003D3660" w14:paraId="1BEBD187" w14:textId="77777777">
            <w:r>
              <w:t>Min kompetanse 1-6</w:t>
            </w:r>
          </w:p>
        </w:tc>
      </w:tr>
      <w:tr w14:paraId="3C51F54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4E5249D1" w14:textId="30E01229">
            <w:r>
              <w:rPr>
                <w:noProof/>
              </w:rPr>
              <w:t>Planleggje bygging, drift, kontroll og vedlikehald av over- og underbygningen i køyreveg for skjenegåande transport ved hjelp av ulike prosjektverktøy, arbeide etter teikningar, beskrivingar og preaksepterte løysingar, velje verktøy og materiale og vurdere kostnader, tidsbruk og miljøomsyn i arbeidet</w:t>
            </w:r>
          </w:p>
        </w:tc>
        <w:tc>
          <w:tcPr>
            <w:tcW w:w="2835" w:type="dxa"/>
          </w:tcPr>
          <w:p w:rsidR="00ED7E3D" w:rsidP="00E67090" w14:paraId="45E6A4ED" w14:textId="77777777"/>
        </w:tc>
      </w:tr>
      <w:tr w14:paraId="46048E6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2F3CB00B" w14:textId="7A3E3108">
            <w:r>
              <w:rPr>
                <w:noProof/>
              </w:rPr>
              <w:t>Gjere greie for og bruke kvalitetssikringssystem, gjennomføre arbeidet i tråd med gjeldande krav til helse, miljø og sikkerheit og toleransekrav og reflektere over konsekvensar av ikkje å følgje krava</w:t>
            </w:r>
          </w:p>
        </w:tc>
        <w:tc>
          <w:tcPr>
            <w:tcW w:w="2835" w:type="dxa"/>
          </w:tcPr>
          <w:p w:rsidR="00ED7E3D" w:rsidP="00E67090" w14:paraId="463A4F64" w14:textId="77777777"/>
        </w:tc>
      </w:tr>
      <w:tr w14:paraId="38BC6FA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37D83F3E" w14:textId="7D6B73BF">
            <w:r>
              <w:rPr>
                <w:noProof/>
              </w:rPr>
              <w:t>Risikovurdere arbeidsoppdrag, gjennomføre ein sikker jobbanalyse og rapportere om uønskte hendingar</w:t>
            </w:r>
          </w:p>
        </w:tc>
        <w:tc>
          <w:tcPr>
            <w:tcW w:w="2835" w:type="dxa"/>
          </w:tcPr>
          <w:p w:rsidR="00ED7E3D" w:rsidP="00E67090" w14:paraId="7DFEF2FA" w14:textId="77777777"/>
        </w:tc>
      </w:tr>
      <w:tr w14:paraId="3D47BC0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30137BC9" w14:textId="4248935B">
            <w:r>
              <w:rPr>
                <w:noProof/>
              </w:rPr>
              <w:t>Arbeide i tråd med ergonomiske prinsipp og reflektere over konsekvensane av ulike belastningar for yrkesutøvaren</w:t>
            </w:r>
          </w:p>
        </w:tc>
        <w:tc>
          <w:tcPr>
            <w:tcW w:w="2835" w:type="dxa"/>
          </w:tcPr>
          <w:p w:rsidR="00ED7E3D" w:rsidP="00E67090" w14:paraId="76809101" w14:textId="77777777"/>
        </w:tc>
      </w:tr>
      <w:tr w14:paraId="350CAFA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04059C09" w14:textId="305F4D38">
            <w:r>
              <w:rPr>
                <w:noProof/>
              </w:rPr>
              <w:t>Sikre og sperre av byggjeplassar og anleggsområde i samsvar med gjeldande regelverk og vurdere kva risikofaktorar som kan påverke trafikkavviklinga</w:t>
            </w:r>
          </w:p>
        </w:tc>
        <w:tc>
          <w:tcPr>
            <w:tcW w:w="2835" w:type="dxa"/>
          </w:tcPr>
          <w:p w:rsidR="00ED7E3D" w:rsidP="00E67090" w14:paraId="663FB4EC" w14:textId="77777777"/>
        </w:tc>
      </w:tr>
      <w:tr w14:paraId="4B0413D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42BB856A" w14:textId="5E114CC5">
            <w:r>
              <w:rPr>
                <w:noProof/>
              </w:rPr>
              <w:t>Velje ut og bruke verne- og sikringsutstyr og vurdere konsekvensar av feilbruk</w:t>
            </w:r>
          </w:p>
        </w:tc>
        <w:tc>
          <w:tcPr>
            <w:tcW w:w="2835" w:type="dxa"/>
          </w:tcPr>
          <w:p w:rsidR="00ED7E3D" w:rsidP="00E67090" w14:paraId="2EFA14FE" w14:textId="77777777"/>
        </w:tc>
      </w:tr>
      <w:tr w14:paraId="698DD32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7678ED99" w14:textId="18799463">
            <w:r>
              <w:rPr>
                <w:noProof/>
              </w:rPr>
              <w:t>Kjeldesortere og handtere avfall etter gjeldande regelverk, behandle farlege stoff, uønskte plantar og organismar, reflektere over konsekvensane av feilhandtering og iverksette tiltak</w:t>
            </w:r>
          </w:p>
        </w:tc>
        <w:tc>
          <w:tcPr>
            <w:tcW w:w="2835" w:type="dxa"/>
          </w:tcPr>
          <w:p w:rsidR="00ED7E3D" w:rsidP="00E67090" w14:paraId="183FFB06" w14:textId="77777777"/>
        </w:tc>
      </w:tr>
      <w:tr w14:paraId="3AE9434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00EA149A" w14:textId="71BA67DF">
            <w:r>
              <w:rPr>
                <w:noProof/>
              </w:rPr>
              <w:t>Arbeide etter regelverk og avtalar som regulerer arbeidsforholdet i faget, og gjere greie for pliktene og rettane til arbeidsgivaren og arbeidstakaren og reflektere over krav og forventningar som blir stilte til eit likeverdig og inkluderande yrkesfellesskap</w:t>
            </w:r>
          </w:p>
        </w:tc>
        <w:tc>
          <w:tcPr>
            <w:tcW w:w="2835" w:type="dxa"/>
          </w:tcPr>
          <w:p w:rsidR="00ED7E3D" w:rsidP="00E67090" w14:paraId="2F250979" w14:textId="77777777"/>
        </w:tc>
      </w:tr>
      <w:tr w14:paraId="3B8F246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21C68B04" w14:textId="222B42DE">
            <w:r>
              <w:rPr>
                <w:noProof/>
              </w:rPr>
              <w:t>Gjere greie for kvalitetane og eigenskapane til stål, grus og andre steinmateriale, betong og trevirke og vurdere bruken ut frå haldbarheit, miljøomsyn og økonomi</w:t>
            </w:r>
          </w:p>
        </w:tc>
        <w:tc>
          <w:tcPr>
            <w:tcW w:w="2835" w:type="dxa"/>
          </w:tcPr>
          <w:p w:rsidR="00ED7E3D" w:rsidP="00E67090" w14:paraId="58CFEB9F" w14:textId="77777777"/>
        </w:tc>
      </w:tr>
      <w:tr w14:paraId="758A6B2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7D75587D" w14:textId="501D1D99">
            <w:r>
              <w:rPr>
                <w:noProof/>
              </w:rPr>
              <w:t>Ta imot materiale, utstyr og verktøy og kontrollere kvaliteten i tråd med arbeidsoppdraget</w:t>
            </w:r>
          </w:p>
        </w:tc>
        <w:tc>
          <w:tcPr>
            <w:tcW w:w="2835" w:type="dxa"/>
          </w:tcPr>
          <w:p w:rsidR="00ED7E3D" w:rsidP="00E67090" w14:paraId="19D0AD05" w14:textId="77777777"/>
        </w:tc>
      </w:tr>
      <w:tr w14:paraId="6223245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5A3DF5A2" w14:textId="4E89554D">
            <w:r>
              <w:rPr>
                <w:noProof/>
              </w:rPr>
              <w:t>Velje og bruke ulike maskiner og metodar i arbeidet med spor og sporanlegg og halde ved like maskiner, reiskapar og utstyr</w:t>
            </w:r>
          </w:p>
        </w:tc>
        <w:tc>
          <w:tcPr>
            <w:tcW w:w="2835" w:type="dxa"/>
          </w:tcPr>
          <w:p w:rsidR="00ED7E3D" w:rsidP="00E67090" w14:paraId="16053DDE" w14:textId="77777777"/>
        </w:tc>
      </w:tr>
      <w:tr w14:paraId="0DEF59F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793634BC" w14:textId="0DFD86D2">
            <w:r>
              <w:rPr>
                <w:noProof/>
              </w:rPr>
              <w:t xml:space="preserve">Forstå kvifor overhøgder blir brukte i sporet, og drøfte forholdet mellom </w:t>
            </w:r>
            <w:r>
              <w:rPr>
                <w:noProof/>
              </w:rPr>
              <w:t>overhøgde og strekningshastigheit</w:t>
            </w:r>
          </w:p>
        </w:tc>
        <w:tc>
          <w:tcPr>
            <w:tcW w:w="2835" w:type="dxa"/>
          </w:tcPr>
          <w:p w:rsidR="00ED7E3D" w:rsidP="00E67090" w14:paraId="2F91F84C" w14:textId="77777777"/>
        </w:tc>
      </w:tr>
      <w:tr w14:paraId="2E478B0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325A66B1" w14:textId="2929D62C">
            <w:r>
              <w:rPr>
                <w:noProof/>
              </w:rPr>
              <w:t>Byggje og halde ved like sporanlegg og sporvekslarar og vurdere konsekvensen av feilproduksjon</w:t>
            </w:r>
          </w:p>
        </w:tc>
        <w:tc>
          <w:tcPr>
            <w:tcW w:w="2835" w:type="dxa"/>
          </w:tcPr>
          <w:p w:rsidR="00ED7E3D" w:rsidP="00E67090" w14:paraId="51225C9B" w14:textId="77777777"/>
        </w:tc>
      </w:tr>
      <w:tr w14:paraId="5F3BD9B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09ACD0BA" w14:textId="301C22E2">
            <w:r>
              <w:rPr>
                <w:noProof/>
              </w:rPr>
              <w:t>Forstå kreftene som verkar i sporet, og halde ved like heilsveisa spor</w:t>
            </w:r>
          </w:p>
        </w:tc>
        <w:tc>
          <w:tcPr>
            <w:tcW w:w="2835" w:type="dxa"/>
          </w:tcPr>
          <w:p w:rsidR="00ED7E3D" w:rsidP="00E67090" w14:paraId="45D032DB" w14:textId="77777777"/>
        </w:tc>
      </w:tr>
      <w:tr w14:paraId="5B6C425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161D343A" w14:textId="4EE9913F">
            <w:r>
              <w:rPr>
                <w:noProof/>
              </w:rPr>
              <w:t>Gjere greie for ulike typar brukonstruksjonar og byggje og halde ved like spor på bruer</w:t>
            </w:r>
          </w:p>
        </w:tc>
        <w:tc>
          <w:tcPr>
            <w:tcW w:w="2835" w:type="dxa"/>
          </w:tcPr>
          <w:p w:rsidR="00ED7E3D" w:rsidP="00E67090" w14:paraId="7969659D" w14:textId="77777777"/>
        </w:tc>
      </w:tr>
      <w:tr w14:paraId="7B4C1BF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633A5C85" w14:textId="55DB6A2C">
            <w:r>
              <w:rPr>
                <w:noProof/>
              </w:rPr>
              <w:t>Velje skjener og sviller og byggje spor i tråd med arbeidsoppdraget</w:t>
            </w:r>
          </w:p>
        </w:tc>
        <w:tc>
          <w:tcPr>
            <w:tcW w:w="2835" w:type="dxa"/>
          </w:tcPr>
          <w:p w:rsidR="00ED7E3D" w:rsidP="00E67090" w14:paraId="50FC54C0" w14:textId="77777777"/>
        </w:tc>
      </w:tr>
      <w:tr w14:paraId="5384F0D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31D8F6B8" w14:textId="521D2538">
            <w:r>
              <w:rPr>
                <w:noProof/>
              </w:rPr>
              <w:t>Halde ved like vassvegar og vurdere korleis landskapet og dei geologiske forholda påverkar underbygninga</w:t>
            </w:r>
          </w:p>
        </w:tc>
        <w:tc>
          <w:tcPr>
            <w:tcW w:w="2835" w:type="dxa"/>
          </w:tcPr>
          <w:p w:rsidR="00ED7E3D" w:rsidP="00E67090" w14:paraId="6B7DC895" w14:textId="77777777"/>
        </w:tc>
      </w:tr>
      <w:tr w14:paraId="36E8760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2E194E7D" w14:textId="30E7B31C">
            <w:r>
              <w:rPr>
                <w:noProof/>
              </w:rPr>
              <w:t>Kontrollere vegetasjonen langs spor og ved stasjonsområde, fjerne uønskt vegetasjon, drøfte ulike metodar for vegetasjonskontroll og reflektere over hvorfor uønsket vegetasjon fjernes</w:t>
            </w:r>
          </w:p>
        </w:tc>
        <w:tc>
          <w:tcPr>
            <w:tcW w:w="2835" w:type="dxa"/>
          </w:tcPr>
          <w:p w:rsidR="00ED7E3D" w:rsidP="00E67090" w14:paraId="1BE4E316" w14:textId="77777777"/>
        </w:tc>
      </w:tr>
      <w:tr w14:paraId="36636AB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0F046C0B" w14:textId="78D73A3E">
            <w:r>
              <w:rPr>
                <w:noProof/>
              </w:rPr>
              <w:t>Vurdere korleis klimaet kan påverke sporstabiliteten, og setje i verk tiltak</w:t>
            </w:r>
          </w:p>
        </w:tc>
        <w:tc>
          <w:tcPr>
            <w:tcW w:w="2835" w:type="dxa"/>
          </w:tcPr>
          <w:p w:rsidR="00ED7E3D" w:rsidP="00E67090" w14:paraId="37B1ADC0" w14:textId="77777777"/>
        </w:tc>
      </w:tr>
      <w:tr w14:paraId="32A3990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1F024274" w14:textId="4E28DC06">
            <w:r>
              <w:rPr>
                <w:noProof/>
              </w:rPr>
              <w:t>Forstå og gjere greie for oppbygginga av det elektrotekniske anlegget i og ved sporet</w:t>
            </w:r>
          </w:p>
        </w:tc>
        <w:tc>
          <w:tcPr>
            <w:tcW w:w="2835" w:type="dxa"/>
          </w:tcPr>
          <w:p w:rsidR="00ED7E3D" w:rsidP="00E67090" w14:paraId="34BC30A9" w14:textId="77777777"/>
        </w:tc>
      </w:tr>
      <w:tr w14:paraId="55F8A26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4932DFB6" w14:textId="269CC706">
            <w:r>
              <w:rPr>
                <w:noProof/>
              </w:rPr>
              <w:t>Utføre enkel kontroll, sikring og vedlikehald av støttemurar, tunnelar og fjellskjeringar</w:t>
            </w:r>
          </w:p>
        </w:tc>
        <w:tc>
          <w:tcPr>
            <w:tcW w:w="2835" w:type="dxa"/>
          </w:tcPr>
          <w:p w:rsidR="00ED7E3D" w:rsidP="00E67090" w14:paraId="3FBD231B" w14:textId="77777777"/>
        </w:tc>
      </w:tr>
      <w:tr w14:paraId="21301A7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ED7E3D" w:rsidP="00E67090" w14:paraId="3E7BB405" w14:textId="005C29D7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ED7E3D" w:rsidP="00E67090" w14:paraId="2AB5F2CB" w14:textId="77777777"/>
        </w:tc>
      </w:tr>
    </w:tbl>
    <w:p w:rsidR="00ED7E3D" w:rsidP="00CB42CB" w14:paraId="6D087E51" w14:textId="77777777">
      <w:pPr>
        <w:sectPr w:rsidSect="00ED7E3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D7E3D" w:rsidRPr="00EC5D6F" w:rsidP="00CB42CB" w14:paraId="79E2E102" w14:textId="77777777"/>
    <w:sectPr w:rsidSect="00ED7E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D7E3D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487373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Banemontørfaget</dc:title>
  <dc:creator>Marius Løvdal</dc:creator>
  <cp:lastModifiedBy>Marius Løvdal</cp:lastModifiedBy>
  <cp:revision>1</cp:revision>
  <dcterms:created xsi:type="dcterms:W3CDTF">2025-03-27T08:10:00Z</dcterms:created>
  <dcterms:modified xsi:type="dcterms:W3CDTF">2025-03-27T08:11:00Z</dcterms:modified>
</cp:coreProperties>
</file>