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79084E" w:rsidP="00E67090" w14:paraId="53A3B7C9" w14:textId="77777777">
      <w:pPr>
        <w:pStyle w:val="Title"/>
      </w:pPr>
      <w:r>
        <w:t>Egenevaluering av kompetanse</w:t>
      </w:r>
    </w:p>
    <w:p w:rsidR="0079084E" w:rsidP="00F0671C" w14:paraId="4ACE7701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79084E" w:rsidRPr="00953080" w:rsidP="002A1FFE" w14:paraId="6DB84B29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6F92877C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79084E" w:rsidRPr="00FF7CF8" w:rsidP="00C055A6" w14:paraId="52285004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4A79DAF5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79084E" w:rsidP="00B1647E" w14:paraId="63649EAD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79084E" w:rsidP="00B1647E" w14:paraId="26282BCA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79084E" w:rsidP="00B1647E" w14:paraId="6E24AF29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79084E" w:rsidP="00B1647E" w14:paraId="10609C60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79084E" w:rsidP="00B1647E" w14:paraId="655BD8AD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79084E" w:rsidP="00B1647E" w14:paraId="0F9461D5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79084E" w:rsidRPr="008C1F87" w:rsidP="008C1F87" w14:paraId="3FD1B3C8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169BD11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RPr="00E67090" w:rsidP="00274EA2" w14:paraId="6AEAE422" w14:textId="77777777">
            <w:r w:rsidRPr="00EE4E15">
              <w:rPr>
                <w:noProof/>
              </w:rPr>
              <w:t>Anleggsrøyrleggjarfaget (ARL03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01)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79084E" w:rsidP="003D3660" w14:paraId="503EDC72" w14:textId="77777777">
            <w:r>
              <w:t>Min kompetanse 1-6</w:t>
            </w:r>
          </w:p>
        </w:tc>
      </w:tr>
      <w:tr w14:paraId="0C8BB05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72B02FDF" w14:textId="10876339">
            <w:r>
              <w:rPr>
                <w:noProof/>
              </w:rPr>
              <w:t>Planleggje drift av infrastruktur for vatn og avløp etter teikningar, beskrivingar og preaksepterte løysingar ved å bruke ulike prosjektverktøy, arbeide i tråd med gjeldande krav til helse, miljø og sikkerheit og toleransekrav og vurdere konsekvensar av avvik frå krava</w:t>
            </w:r>
          </w:p>
        </w:tc>
        <w:tc>
          <w:tcPr>
            <w:tcW w:w="2835" w:type="dxa"/>
          </w:tcPr>
          <w:p w:rsidR="0079084E" w:rsidP="00E67090" w14:paraId="6C296EC7" w14:textId="77777777"/>
        </w:tc>
      </w:tr>
      <w:tr w14:paraId="4681E6A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65F9EB86" w14:textId="679938C2">
            <w:r>
              <w:rPr>
                <w:noProof/>
              </w:rPr>
              <w:t>Velje verktøy og materiale og vurdere kostnader, tidsbruk og miljøomsyn i arbeidet</w:t>
            </w:r>
          </w:p>
        </w:tc>
        <w:tc>
          <w:tcPr>
            <w:tcW w:w="2835" w:type="dxa"/>
          </w:tcPr>
          <w:p w:rsidR="0079084E" w:rsidP="00E67090" w14:paraId="3FCD6AAB" w14:textId="77777777"/>
        </w:tc>
      </w:tr>
      <w:tr w14:paraId="4EA85DD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007B82C6" w14:textId="71879782">
            <w:r>
              <w:rPr>
                <w:noProof/>
              </w:rPr>
              <w:t>Gjere greie for og bruke kvalitetssikringssystem, dokumentere eige arbeid og håndtere avvik</w:t>
            </w:r>
          </w:p>
        </w:tc>
        <w:tc>
          <w:tcPr>
            <w:tcW w:w="2835" w:type="dxa"/>
          </w:tcPr>
          <w:p w:rsidR="0079084E" w:rsidP="00E67090" w14:paraId="1D548614" w14:textId="77777777"/>
        </w:tc>
      </w:tr>
      <w:tr w14:paraId="2E3F458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2C241B3E" w14:textId="2B903494">
            <w:r>
              <w:rPr>
                <w:noProof/>
              </w:rPr>
              <w:t>Utarbeide framdriftsplaner, bestille og motta materialer og utstyr og kontrollere kvalitet og mengde i tråd med arbeidsoppdraget og med omsyn til miljø og ressursutnytting</w:t>
            </w:r>
          </w:p>
        </w:tc>
        <w:tc>
          <w:tcPr>
            <w:tcW w:w="2835" w:type="dxa"/>
          </w:tcPr>
          <w:p w:rsidR="0079084E" w:rsidP="00E67090" w14:paraId="0035E282" w14:textId="77777777"/>
        </w:tc>
      </w:tr>
      <w:tr w14:paraId="023505C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4C5C387F" w14:textId="1B712570">
            <w:r>
              <w:rPr>
                <w:noProof/>
              </w:rPr>
              <w:t>Bruke og halde ved like maskiner og utstyr for etablering av vass-, avløps- og overvassanlegg i samsvar med gjeldande kvalitetssikringssystem</w:t>
            </w:r>
          </w:p>
        </w:tc>
        <w:tc>
          <w:tcPr>
            <w:tcW w:w="2835" w:type="dxa"/>
          </w:tcPr>
          <w:p w:rsidR="0079084E" w:rsidP="00E67090" w14:paraId="08F0352F" w14:textId="77777777"/>
        </w:tc>
      </w:tr>
      <w:tr w14:paraId="17D1793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472B2B29" w14:textId="077751FB">
            <w:r>
              <w:rPr>
                <w:noProof/>
              </w:rPr>
              <w:t>Risikovurdere arbeidsoppdrag, gjennomføre ein sikker jobbanalyse og vurdere korleis geologiske forhold påverkar valet av arbeidsprosess</w:t>
            </w:r>
          </w:p>
        </w:tc>
        <w:tc>
          <w:tcPr>
            <w:tcW w:w="2835" w:type="dxa"/>
          </w:tcPr>
          <w:p w:rsidR="0079084E" w:rsidP="00E67090" w14:paraId="5E23A082" w14:textId="77777777"/>
        </w:tc>
      </w:tr>
      <w:tr w14:paraId="6F22081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5A22F7BC" w14:textId="5780C5CA">
            <w:r>
              <w:rPr>
                <w:noProof/>
              </w:rPr>
              <w:t>Bruke verne- og sikringsutstyr og vurdere konsekvensane av feilbruk</w:t>
            </w:r>
          </w:p>
        </w:tc>
        <w:tc>
          <w:tcPr>
            <w:tcW w:w="2835" w:type="dxa"/>
          </w:tcPr>
          <w:p w:rsidR="0079084E" w:rsidP="00E67090" w14:paraId="0A86C436" w14:textId="77777777"/>
        </w:tc>
      </w:tr>
      <w:tr w14:paraId="7DB54F2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079CFDE0" w14:textId="218C04E1">
            <w:r>
              <w:rPr>
                <w:noProof/>
              </w:rPr>
              <w:t>Arbeide i tråd med ergonomiske prinsipp og reflektere over konsekvensane av støy, vibrasjon, støveksponering og farlege kjemikalium for yrkesutøvaren</w:t>
            </w:r>
          </w:p>
        </w:tc>
        <w:tc>
          <w:tcPr>
            <w:tcW w:w="2835" w:type="dxa"/>
          </w:tcPr>
          <w:p w:rsidR="0079084E" w:rsidP="00E67090" w14:paraId="2CC431C0" w14:textId="77777777"/>
        </w:tc>
      </w:tr>
      <w:tr w14:paraId="0BDF12B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2FAA015B" w14:textId="1512777B">
            <w:r>
              <w:rPr>
                <w:noProof/>
              </w:rPr>
              <w:t>Sikre og sperre av byggje- og anleggsområde etter gjeldande riggplan og drøfte ulike tiltak som sikrar risikoutsette arbeidsforhold</w:t>
            </w:r>
          </w:p>
        </w:tc>
        <w:tc>
          <w:tcPr>
            <w:tcW w:w="2835" w:type="dxa"/>
          </w:tcPr>
          <w:p w:rsidR="0079084E" w:rsidP="00E67090" w14:paraId="2802BB7B" w14:textId="77777777"/>
        </w:tc>
      </w:tr>
      <w:tr w14:paraId="2CFE2DA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07DE80DB" w14:textId="0B331AC9">
            <w:r>
              <w:rPr>
                <w:noProof/>
              </w:rPr>
              <w:t>Følgje krava til arbeidsvarsling og vurdere kva risikofaktorar som kan påverke arbeid i veg</w:t>
            </w:r>
          </w:p>
        </w:tc>
        <w:tc>
          <w:tcPr>
            <w:tcW w:w="2835" w:type="dxa"/>
          </w:tcPr>
          <w:p w:rsidR="0079084E" w:rsidP="00E67090" w14:paraId="7E01FAC4" w14:textId="77777777"/>
        </w:tc>
      </w:tr>
      <w:tr w14:paraId="2FD4326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2E2A7AFF" w14:textId="403FB868">
            <w:r>
              <w:rPr>
                <w:noProof/>
              </w:rPr>
              <w:t>Bygge fundament, sidefyllingar og vernelag i grøfter og kumgroper</w:t>
            </w:r>
          </w:p>
        </w:tc>
        <w:tc>
          <w:tcPr>
            <w:tcW w:w="2835" w:type="dxa"/>
          </w:tcPr>
          <w:p w:rsidR="0079084E" w:rsidP="00E67090" w14:paraId="2EBD50DE" w14:textId="77777777"/>
        </w:tc>
      </w:tr>
      <w:tr w14:paraId="622B16A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7A9DBC5B" w14:textId="6FA1E9A6">
            <w:r>
              <w:rPr>
                <w:noProof/>
              </w:rPr>
              <w:t>Gjere greie for kva krefter som påverkar nedgravne og trykksette røyr, og setje i verk tiltak ved leidningsbrot</w:t>
            </w:r>
          </w:p>
        </w:tc>
        <w:tc>
          <w:tcPr>
            <w:tcW w:w="2835" w:type="dxa"/>
          </w:tcPr>
          <w:p w:rsidR="0079084E" w:rsidP="00E67090" w14:paraId="104FD856" w14:textId="77777777"/>
        </w:tc>
      </w:tr>
      <w:tr w14:paraId="03C57AB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2A112CCF" w14:textId="1CE8C252">
            <w:r>
              <w:rPr>
                <w:noProof/>
              </w:rPr>
              <w:t>Bruke preaksepterte løysingar for ulike typar arbeid i tråd med gjeldande regelverk, kommunale føresegner og monteringsinstruksjonar og vurdere konsekvensane av feilmontering</w:t>
            </w:r>
          </w:p>
        </w:tc>
        <w:tc>
          <w:tcPr>
            <w:tcW w:w="2835" w:type="dxa"/>
          </w:tcPr>
          <w:p w:rsidR="0079084E" w:rsidP="00E67090" w14:paraId="6FF0CBC0" w14:textId="77777777"/>
        </w:tc>
      </w:tr>
      <w:tr w14:paraId="56B95C5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4A00882E" w14:textId="701AE43A">
            <w:r>
              <w:rPr>
                <w:noProof/>
              </w:rPr>
              <w:t>Fundamentere og komprimere ulike massar ved vass-, avløps- og overvassanlegg</w:t>
            </w:r>
          </w:p>
        </w:tc>
        <w:tc>
          <w:tcPr>
            <w:tcW w:w="2835" w:type="dxa"/>
          </w:tcPr>
          <w:p w:rsidR="0079084E" w:rsidP="00E67090" w14:paraId="1175292D" w14:textId="77777777"/>
        </w:tc>
      </w:tr>
      <w:tr w14:paraId="3B98F4B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201964C2" w14:textId="23DB152F">
            <w:r>
              <w:rPr>
                <w:noProof/>
              </w:rPr>
              <w:t>Beskrive og dokumentere kva typar materiale som skal brukast i vass-, avløps- og overvassleidningar, og vurdere konsekvensane av feilbruk</w:t>
            </w:r>
          </w:p>
        </w:tc>
        <w:tc>
          <w:tcPr>
            <w:tcW w:w="2835" w:type="dxa"/>
          </w:tcPr>
          <w:p w:rsidR="0079084E" w:rsidP="00E67090" w14:paraId="093B1B74" w14:textId="77777777"/>
        </w:tc>
      </w:tr>
      <w:tr w14:paraId="0E167E4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75F15743" w14:textId="72E374EA">
            <w:r>
              <w:rPr>
                <w:noProof/>
              </w:rPr>
              <w:t>Leggje røyr i ulike massetypar og temperaturar og vurdere korleis materiala blir påverka</w:t>
            </w:r>
          </w:p>
        </w:tc>
        <w:tc>
          <w:tcPr>
            <w:tcW w:w="2835" w:type="dxa"/>
          </w:tcPr>
          <w:p w:rsidR="0079084E" w:rsidP="00E67090" w14:paraId="46ADA16C" w14:textId="77777777"/>
        </w:tc>
      </w:tr>
      <w:tr w14:paraId="44051CE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0FF76607" w14:textId="48F8250F">
            <w:r>
              <w:rPr>
                <w:noProof/>
              </w:rPr>
              <w:t>Isolere kummar, grunne leidningar og vurdere korleis temperaturar påverkar valet av isolering</w:t>
            </w:r>
          </w:p>
        </w:tc>
        <w:tc>
          <w:tcPr>
            <w:tcW w:w="2835" w:type="dxa"/>
          </w:tcPr>
          <w:p w:rsidR="0079084E" w:rsidP="00E67090" w14:paraId="2111D42A" w14:textId="77777777"/>
        </w:tc>
      </w:tr>
      <w:tr w14:paraId="2466800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1331EAD6" w14:textId="47BA9BAF">
            <w:r>
              <w:rPr>
                <w:noProof/>
              </w:rPr>
              <w:t>Montere og forankre røyr, bend, kummar, anboringar, armatur og pumpestasjoner i samsvar med teikningar og beskrivingar og gjere greie for korleis hydrauliske krefter påverkar røyr, delar og konstruksjonar</w:t>
            </w:r>
          </w:p>
        </w:tc>
        <w:tc>
          <w:tcPr>
            <w:tcW w:w="2835" w:type="dxa"/>
          </w:tcPr>
          <w:p w:rsidR="0079084E" w:rsidP="00E67090" w14:paraId="7D0ADA52" w14:textId="77777777"/>
        </w:tc>
      </w:tr>
      <w:tr w14:paraId="57C56C6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0B4ACA0A" w14:textId="7DFCA63B">
            <w:r>
              <w:rPr>
                <w:noProof/>
              </w:rPr>
              <w:t>Leggje røyr i tråd med gjeldande normer og drøfte korleis kommunale graveinstrukser påverkar arbeidet</w:t>
            </w:r>
          </w:p>
        </w:tc>
        <w:tc>
          <w:tcPr>
            <w:tcW w:w="2835" w:type="dxa"/>
          </w:tcPr>
          <w:p w:rsidR="0079084E" w:rsidP="00E67090" w14:paraId="4F35A345" w14:textId="77777777"/>
        </w:tc>
      </w:tr>
      <w:tr w14:paraId="10504F4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4BDC7931" w14:textId="7BBCB207">
            <w:r>
              <w:rPr>
                <w:noProof/>
              </w:rPr>
              <w:t>Velje samanføyingsmetodar for røyr og delar, hovudleidningar og stikkleidningar og vurdere konsekvensane av feilmontering</w:t>
            </w:r>
          </w:p>
        </w:tc>
        <w:tc>
          <w:tcPr>
            <w:tcW w:w="2835" w:type="dxa"/>
          </w:tcPr>
          <w:p w:rsidR="0079084E" w:rsidP="00E67090" w14:paraId="64223B78" w14:textId="77777777"/>
        </w:tc>
      </w:tr>
      <w:tr w14:paraId="56EBB75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73FEF53E" w14:textId="48F9B694">
            <w:r>
              <w:rPr>
                <w:noProof/>
              </w:rPr>
              <w:t>Forskale, armere og støype fundament og forankringar til vass-, avløps- og overvassanlegg etter teikningar og beskrivingar</w:t>
            </w:r>
          </w:p>
        </w:tc>
        <w:tc>
          <w:tcPr>
            <w:tcW w:w="2835" w:type="dxa"/>
          </w:tcPr>
          <w:p w:rsidR="0079084E" w:rsidP="00E67090" w14:paraId="1713352D" w14:textId="77777777"/>
        </w:tc>
      </w:tr>
      <w:tr w14:paraId="3A485DE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2BE49291" w14:textId="1E0FFD8F">
            <w:r>
              <w:rPr>
                <w:noProof/>
              </w:rPr>
              <w:t>Utføre trykk- og tettleiksprøve på alle typar røyr og vurdere korleis lokalt regelverk påverkar arbeidet</w:t>
            </w:r>
          </w:p>
        </w:tc>
        <w:tc>
          <w:tcPr>
            <w:tcW w:w="2835" w:type="dxa"/>
          </w:tcPr>
          <w:p w:rsidR="0079084E" w:rsidP="00E67090" w14:paraId="7AD78CFA" w14:textId="77777777"/>
        </w:tc>
      </w:tr>
      <w:tr w14:paraId="0E9EF81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0546AC1A" w14:textId="321630E7">
            <w:r>
              <w:rPr>
                <w:noProof/>
              </w:rPr>
              <w:t>Kjeldesortere og handtere avfall etter gjeldande regelverk, behandle forureina massar, uønskte planter og organismar, reflektere over konsekvensane av feilhandtering og iverksette tiltak</w:t>
            </w:r>
          </w:p>
        </w:tc>
        <w:tc>
          <w:tcPr>
            <w:tcW w:w="2835" w:type="dxa"/>
          </w:tcPr>
          <w:p w:rsidR="0079084E" w:rsidP="00E67090" w14:paraId="034524BC" w14:textId="77777777"/>
        </w:tc>
      </w:tr>
      <w:tr w14:paraId="44A9528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03A17D1B" w14:textId="080E1BC5">
            <w:r>
              <w:rPr>
                <w:noProof/>
              </w:rPr>
              <w:t>Utføre stikking og nivellering ved hjelp av oppmålingsutstyr og dokumentere arbeidet</w:t>
            </w:r>
          </w:p>
        </w:tc>
        <w:tc>
          <w:tcPr>
            <w:tcW w:w="2835" w:type="dxa"/>
          </w:tcPr>
          <w:p w:rsidR="0079084E" w:rsidP="00E67090" w14:paraId="654935FF" w14:textId="77777777"/>
        </w:tc>
      </w:tr>
      <w:tr w14:paraId="02DD85D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2ECFC52F" w14:textId="20253C70">
            <w:r>
              <w:rPr>
                <w:noProof/>
              </w:rPr>
              <w:t>Drøfte ulike metodar for lekkasjesøk, trasésøk og røyrinspeksjon</w:t>
            </w:r>
          </w:p>
        </w:tc>
        <w:tc>
          <w:tcPr>
            <w:tcW w:w="2835" w:type="dxa"/>
          </w:tcPr>
          <w:p w:rsidR="0079084E" w:rsidP="00E67090" w14:paraId="73CC6221" w14:textId="77777777"/>
        </w:tc>
      </w:tr>
      <w:tr w14:paraId="16A08A1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0763B09E" w14:textId="5576D0E2">
            <w:r>
              <w:rPr>
                <w:noProof/>
              </w:rPr>
              <w:t>Drøfte ulike gravefrie metodar for renovering og leidningsfornying</w:t>
            </w:r>
          </w:p>
        </w:tc>
        <w:tc>
          <w:tcPr>
            <w:tcW w:w="2835" w:type="dxa"/>
          </w:tcPr>
          <w:p w:rsidR="0079084E" w:rsidP="00E67090" w14:paraId="167B6363" w14:textId="77777777"/>
        </w:tc>
      </w:tr>
      <w:tr w14:paraId="3B9EB32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27DEB411" w14:textId="6E1E03D9">
            <w:r>
              <w:rPr>
                <w:noProof/>
              </w:rPr>
              <w:t>Reinse, stake, spyle og tine leidningsnett</w:t>
            </w:r>
          </w:p>
        </w:tc>
        <w:tc>
          <w:tcPr>
            <w:tcW w:w="2835" w:type="dxa"/>
          </w:tcPr>
          <w:p w:rsidR="0079084E" w:rsidP="00E67090" w14:paraId="25AEBD3E" w14:textId="77777777"/>
        </w:tc>
      </w:tr>
      <w:tr w14:paraId="6FB0D77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524C97A8" w14:textId="13B01E8A">
            <w:r>
              <w:rPr>
                <w:noProof/>
              </w:rPr>
              <w:t>Bruke fagterminologi for å kommunisere med kollegaer og andre yrkesutøvarar og drøfte ulike løysingar som bidreg til å minimere miljøavtrykket og sikre ei effektiv ressursutnytting</w:t>
            </w:r>
          </w:p>
        </w:tc>
        <w:tc>
          <w:tcPr>
            <w:tcW w:w="2835" w:type="dxa"/>
          </w:tcPr>
          <w:p w:rsidR="0079084E" w:rsidP="00E67090" w14:paraId="5F62E324" w14:textId="77777777"/>
        </w:tc>
      </w:tr>
      <w:tr w14:paraId="4D037BD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6E47901A" w14:textId="48C195B7">
            <w:r>
              <w:rPr>
                <w:noProof/>
              </w:rPr>
              <w:t>Gjere greie for infiltrasjonsanlegg, montere minireinseanlegg etter gjeldande regelverk og lokale føresetnader og drøfte korleis tilstanden til grunnen påverkar arbeidsprosessen</w:t>
            </w:r>
          </w:p>
        </w:tc>
        <w:tc>
          <w:tcPr>
            <w:tcW w:w="2835" w:type="dxa"/>
          </w:tcPr>
          <w:p w:rsidR="0079084E" w:rsidP="00E67090" w14:paraId="4A70308D" w14:textId="77777777"/>
        </w:tc>
      </w:tr>
      <w:tr w14:paraId="63D9005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19B2F985" w14:textId="271AFD9D">
            <w:r>
              <w:rPr>
                <w:noProof/>
              </w:rPr>
              <w:t>Byggje fundament og komprimere stadlege massar og knuste steinmassar ved attfylling av grøft og vurdere gjenbruk av stedlige massar</w:t>
            </w:r>
          </w:p>
        </w:tc>
        <w:tc>
          <w:tcPr>
            <w:tcW w:w="2835" w:type="dxa"/>
          </w:tcPr>
          <w:p w:rsidR="0079084E" w:rsidP="00E67090" w14:paraId="021B13F3" w14:textId="77777777"/>
        </w:tc>
      </w:tr>
      <w:tr w14:paraId="0D1017B5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16EE996C" w14:textId="3D1E3BE8">
            <w:r>
              <w:rPr>
                <w:noProof/>
              </w:rPr>
              <w:t>Arbeide etter regelverk og avtalar som regulerer arbeidsforholdet i faget, og gjere greie for pliktene og rettane til arbeidsgivaren og arbeidstakaren og reflektere over krav og forventinger som stilles til et likeverdig og inkluderende yrkesfellesskap</w:t>
            </w:r>
          </w:p>
        </w:tc>
        <w:tc>
          <w:tcPr>
            <w:tcW w:w="2835" w:type="dxa"/>
          </w:tcPr>
          <w:p w:rsidR="0079084E" w:rsidP="00E67090" w14:paraId="5A8074DD" w14:textId="77777777"/>
        </w:tc>
      </w:tr>
      <w:tr w14:paraId="19404C4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79084E" w:rsidP="00E67090" w14:paraId="3D6A30ED" w14:textId="607C0BAA">
            <w:r>
              <w:rPr>
                <w:noProof/>
              </w:rPr>
              <w:t>Utføre grunnleggjande førstehjelp</w:t>
            </w:r>
          </w:p>
        </w:tc>
        <w:tc>
          <w:tcPr>
            <w:tcW w:w="2835" w:type="dxa"/>
          </w:tcPr>
          <w:p w:rsidR="0079084E" w:rsidP="00E67090" w14:paraId="2DE3DA73" w14:textId="77777777"/>
        </w:tc>
      </w:tr>
    </w:tbl>
    <w:p w:rsidR="0079084E" w:rsidP="00CB42CB" w14:paraId="52BA820D" w14:textId="77777777">
      <w:pPr>
        <w:sectPr w:rsidSect="0079084E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79084E" w:rsidRPr="00EC5D6F" w:rsidP="00CB42CB" w14:paraId="581C1326" w14:textId="77777777"/>
    <w:sectPr w:rsidSect="007908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E1AAE"/>
    <w:rsid w:val="005E6D5E"/>
    <w:rsid w:val="00680F4E"/>
    <w:rsid w:val="00697D3A"/>
    <w:rsid w:val="006A13C1"/>
    <w:rsid w:val="006A4979"/>
    <w:rsid w:val="0077093C"/>
    <w:rsid w:val="00783BAD"/>
    <w:rsid w:val="0079084E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175060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Anleggsrøyrleggjarfaget</dc:title>
  <dc:creator>Marius Løvdal</dc:creator>
  <cp:lastModifiedBy>Marius Løvdal</cp:lastModifiedBy>
  <cp:revision>1</cp:revision>
  <dcterms:created xsi:type="dcterms:W3CDTF">2025-03-27T08:09:00Z</dcterms:created>
  <dcterms:modified xsi:type="dcterms:W3CDTF">2025-03-27T08:09:00Z</dcterms:modified>
</cp:coreProperties>
</file>