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960655" w:rsidP="00E67090" w14:paraId="6C4A6E59" w14:textId="77777777">
      <w:pPr>
        <w:pStyle w:val="Title"/>
      </w:pPr>
      <w:r>
        <w:t>Egenevaluering av kompetanse</w:t>
      </w:r>
    </w:p>
    <w:p w:rsidR="00960655" w:rsidP="00F0671C" w14:paraId="7E782C50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960655" w:rsidRPr="00953080" w:rsidP="002A1FFE" w14:paraId="6348ED20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2F5754D9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960655" w:rsidRPr="00FF7CF8" w:rsidP="00C055A6" w14:paraId="7FBDCC66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30F1EBA9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960655" w:rsidP="00B1647E" w14:paraId="445EE2F9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960655" w:rsidP="00B1647E" w14:paraId="073631A5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960655" w:rsidP="00B1647E" w14:paraId="451B297C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960655" w:rsidP="00B1647E" w14:paraId="3E1349C5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960655" w:rsidP="00B1647E" w14:paraId="0501EE99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960655" w:rsidP="00B1647E" w14:paraId="362B29DE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960655" w:rsidRPr="008C1F87" w:rsidP="008C1F87" w14:paraId="4BEA8D35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1FA4EB6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RPr="00E67090" w:rsidP="00274EA2" w14:paraId="003809CB" w14:textId="77777777">
            <w:r w:rsidRPr="00EE4E15">
              <w:rPr>
                <w:noProof/>
              </w:rPr>
              <w:t>Anleggsmaskinførerfaget (AMF03</w:t>
            </w:r>
            <w:r w:rsidRPr="00EE4E15">
              <w:rPr>
                <w:rFonts w:ascii="Cambria Math" w:hAnsi="Cambria Math" w:cs="Cambria Math"/>
                <w:noProof/>
              </w:rPr>
              <w:t>‑</w:t>
            </w:r>
            <w:r w:rsidRPr="00EE4E15">
              <w:rPr>
                <w:noProof/>
              </w:rPr>
              <w:t>02)</w:t>
            </w:r>
            <w:r>
              <w:t xml:space="preserve"> Kompetansemål for vurdering</w:t>
            </w:r>
          </w:p>
        </w:tc>
        <w:tc>
          <w:tcPr>
            <w:tcW w:w="2835" w:type="dxa"/>
          </w:tcPr>
          <w:p w:rsidR="00960655" w:rsidP="003D3660" w14:paraId="00DC5491" w14:textId="77777777">
            <w:r>
              <w:t>Min kompetanse 1-6</w:t>
            </w:r>
          </w:p>
        </w:tc>
      </w:tr>
      <w:tr w14:paraId="34C0816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14E7EDDB" w14:textId="6C0A0DE5">
            <w:r>
              <w:rPr>
                <w:noProof/>
              </w:rPr>
              <w:t>Velge og bruke masseforflytningsmaskiner tilpasset arbeidsoppgaven, reflektere over konsekvensene for miljø og ressursbruk og iverksette tiltak</w:t>
            </w:r>
          </w:p>
        </w:tc>
        <w:tc>
          <w:tcPr>
            <w:tcW w:w="2835" w:type="dxa"/>
          </w:tcPr>
          <w:p w:rsidR="00960655" w:rsidP="00E67090" w14:paraId="209CA707" w14:textId="77777777"/>
        </w:tc>
      </w:tr>
      <w:tr w14:paraId="7CCBE75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5831E9D2" w14:textId="73AA3831">
            <w:r>
              <w:rPr>
                <w:noProof/>
              </w:rPr>
              <w:t>Grave, laste, transportere, legge ut og finavrette ulike type masser.</w:t>
            </w:r>
          </w:p>
        </w:tc>
        <w:tc>
          <w:tcPr>
            <w:tcW w:w="2835" w:type="dxa"/>
          </w:tcPr>
          <w:p w:rsidR="00960655" w:rsidP="00E67090" w14:paraId="0DE3F21C" w14:textId="77777777"/>
        </w:tc>
      </w:tr>
      <w:tr w14:paraId="006CB9A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35763C1C" w14:textId="390C18DE">
            <w:r>
              <w:rPr>
                <w:noProof/>
              </w:rPr>
              <w:t>Velge og bruke tilleggsutstyr i tråd med arbeidsoppdraget. Reflektere over konsekvensen av feilbruk og iverksette tiltak som sikrer eksisterende infrastruktur</w:t>
            </w:r>
          </w:p>
        </w:tc>
        <w:tc>
          <w:tcPr>
            <w:tcW w:w="2835" w:type="dxa"/>
          </w:tcPr>
          <w:p w:rsidR="00960655" w:rsidP="00E67090" w14:paraId="13ECD9D0" w14:textId="77777777"/>
        </w:tc>
      </w:tr>
      <w:tr w14:paraId="188E1A7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661B4B9A" w14:textId="74BEDD3E">
            <w:r>
              <w:rPr>
                <w:noProof/>
              </w:rPr>
              <w:t>Utføre vedlikehold og enkle reparasjoner på anleggsmaskinen</w:t>
            </w:r>
          </w:p>
        </w:tc>
        <w:tc>
          <w:tcPr>
            <w:tcW w:w="2835" w:type="dxa"/>
          </w:tcPr>
          <w:p w:rsidR="00960655" w:rsidP="00E67090" w14:paraId="40305087" w14:textId="77777777"/>
        </w:tc>
      </w:tr>
      <w:tr w14:paraId="119AF7D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1E9A35C1" w14:textId="345999BD">
            <w:r>
              <w:rPr>
                <w:noProof/>
              </w:rPr>
              <w:t>Planlegge bygging av infrastruktur etter tegninger, beskrivelser og preaksepterte løsninger, stardarder og toleransestandarder ved å bruke ulike prosjektverktøy og vurdere konsekvenser av avvik fra toleransekravene</w:t>
            </w:r>
          </w:p>
        </w:tc>
        <w:tc>
          <w:tcPr>
            <w:tcW w:w="2835" w:type="dxa"/>
          </w:tcPr>
          <w:p w:rsidR="00960655" w:rsidP="00E67090" w14:paraId="1D0CDD85" w14:textId="77777777"/>
        </w:tc>
      </w:tr>
      <w:tr w14:paraId="7CD1ECD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012268EB" w14:textId="7BD449B7">
            <w:r>
              <w:rPr>
                <w:noProof/>
              </w:rPr>
              <w:t>Utarbeide framdriftsplaner, bestille og motta materialer, utstyr og massetyper og kontrollere kvalitet og mengde i tråd med arbeidsoppdraget</w:t>
            </w:r>
          </w:p>
        </w:tc>
        <w:tc>
          <w:tcPr>
            <w:tcW w:w="2835" w:type="dxa"/>
          </w:tcPr>
          <w:p w:rsidR="00960655" w:rsidP="00E67090" w14:paraId="201FBE3D" w14:textId="77777777"/>
        </w:tc>
      </w:tr>
      <w:tr w14:paraId="49874EF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1C781923" w14:textId="600C7F60">
            <w:r>
              <w:rPr>
                <w:noProof/>
              </w:rPr>
              <w:t>Arbeide i tråd med gjeldende krav til helse, miljø og sikkerhet, bruke verne- og sikringsutstyr og reflektere over konsekvenser av ikke å følge kravene</w:t>
            </w:r>
          </w:p>
        </w:tc>
        <w:tc>
          <w:tcPr>
            <w:tcW w:w="2835" w:type="dxa"/>
          </w:tcPr>
          <w:p w:rsidR="00960655" w:rsidP="00E67090" w14:paraId="46691CEB" w14:textId="77777777"/>
        </w:tc>
      </w:tr>
      <w:tr w14:paraId="76CBDDB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66ED53A3" w14:textId="670B78AC">
            <w:r>
              <w:rPr>
                <w:noProof/>
              </w:rPr>
              <w:t>Risikovurdere arbeidsoppdrag, gjennomføre en sikker jobbanalyse og rapportere om uønskede hendelser</w:t>
            </w:r>
          </w:p>
        </w:tc>
        <w:tc>
          <w:tcPr>
            <w:tcW w:w="2835" w:type="dxa"/>
          </w:tcPr>
          <w:p w:rsidR="00960655" w:rsidP="00E67090" w14:paraId="39AE825C" w14:textId="77777777"/>
        </w:tc>
      </w:tr>
      <w:tr w14:paraId="0307C72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0605643D" w14:textId="1D9421A5">
            <w:r>
              <w:rPr>
                <w:noProof/>
              </w:rPr>
              <w:t>Utføre grunnleggende førstehjelp</w:t>
            </w:r>
          </w:p>
        </w:tc>
        <w:tc>
          <w:tcPr>
            <w:tcW w:w="2835" w:type="dxa"/>
          </w:tcPr>
          <w:p w:rsidR="00960655" w:rsidP="00E67090" w14:paraId="17E338D3" w14:textId="77777777"/>
        </w:tc>
      </w:tr>
      <w:tr w14:paraId="23CDABB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5C6EF39C" w14:textId="39FBC324">
            <w:r>
              <w:rPr>
                <w:noProof/>
              </w:rPr>
              <w:t>Utføre arbeidsvarsling i henhold til gjeldende regelverk og arbeide i samsvar med en skiltplan</w:t>
            </w:r>
          </w:p>
        </w:tc>
        <w:tc>
          <w:tcPr>
            <w:tcW w:w="2835" w:type="dxa"/>
          </w:tcPr>
          <w:p w:rsidR="00960655" w:rsidP="00E67090" w14:paraId="2784917A" w14:textId="77777777"/>
        </w:tc>
      </w:tr>
      <w:tr w14:paraId="65D51F7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244186BD" w14:textId="0596ED5A">
            <w:r>
              <w:rPr>
                <w:noProof/>
              </w:rPr>
              <w:t>Beregne areal, volum, vekt, høyde og vinkler i tråd med arbeidsoppdraget og vurdere konsekvenser ved feilmåling.</w:t>
            </w:r>
          </w:p>
        </w:tc>
        <w:tc>
          <w:tcPr>
            <w:tcW w:w="2835" w:type="dxa"/>
          </w:tcPr>
          <w:p w:rsidR="00960655" w:rsidP="00E67090" w14:paraId="00DAD2C9" w14:textId="77777777"/>
        </w:tc>
      </w:tr>
      <w:tr w14:paraId="47EB566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3C2600A3" w14:textId="7BFEB9D5">
            <w:r>
              <w:rPr>
                <w:noProof/>
              </w:rPr>
              <w:t>Kontrollere fall og plan i grøft, byggegrop og vei</w:t>
            </w:r>
          </w:p>
        </w:tc>
        <w:tc>
          <w:tcPr>
            <w:tcW w:w="2835" w:type="dxa"/>
          </w:tcPr>
          <w:p w:rsidR="00960655" w:rsidP="00E67090" w14:paraId="18F346AF" w14:textId="77777777"/>
        </w:tc>
      </w:tr>
      <w:tr w14:paraId="7823BE4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2A5E9B6A" w14:textId="14277A42">
            <w:r>
              <w:rPr>
                <w:noProof/>
              </w:rPr>
              <w:t>Sikre fastmerker og utmålte punkter og vurdere konsekvenser av feilmarginer</w:t>
            </w:r>
          </w:p>
        </w:tc>
        <w:tc>
          <w:tcPr>
            <w:tcW w:w="2835" w:type="dxa"/>
          </w:tcPr>
          <w:p w:rsidR="00960655" w:rsidP="00E67090" w14:paraId="0A7CFDDD" w14:textId="77777777"/>
        </w:tc>
      </w:tr>
      <w:tr w14:paraId="4686D2C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0E47B670" w14:textId="4C0FCA54">
            <w:r>
              <w:rPr>
                <w:noProof/>
              </w:rPr>
              <w:t>Bruke GPS og maskinstyringssystemer ved bruk av masseforflytningsmaskiner</w:t>
            </w:r>
          </w:p>
        </w:tc>
        <w:tc>
          <w:tcPr>
            <w:tcW w:w="2835" w:type="dxa"/>
          </w:tcPr>
          <w:p w:rsidR="00960655" w:rsidP="00E67090" w14:paraId="702E97EA" w14:textId="77777777"/>
        </w:tc>
      </w:tr>
      <w:tr w14:paraId="79CDD3E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3D523122" w14:textId="50408193">
            <w:r>
              <w:rPr>
                <w:noProof/>
              </w:rPr>
              <w:t>Fundamentere grunnen, bygge opp konstruksjoner og komprimere ulike massetyper i henhold til tegninger og beskrivelser</w:t>
            </w:r>
          </w:p>
        </w:tc>
        <w:tc>
          <w:tcPr>
            <w:tcW w:w="2835" w:type="dxa"/>
          </w:tcPr>
          <w:p w:rsidR="00960655" w:rsidP="00E67090" w14:paraId="1533A857" w14:textId="77777777"/>
        </w:tc>
      </w:tr>
      <w:tr w14:paraId="727F852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6847AEB1" w14:textId="070F8AEC">
            <w:r>
              <w:rPr>
                <w:noProof/>
              </w:rPr>
              <w:t>Legge rør og montere kummer etter tegninger og beskrivelser</w:t>
            </w:r>
          </w:p>
        </w:tc>
        <w:tc>
          <w:tcPr>
            <w:tcW w:w="2835" w:type="dxa"/>
          </w:tcPr>
          <w:p w:rsidR="00960655" w:rsidP="00E67090" w14:paraId="2105B1B7" w14:textId="77777777"/>
        </w:tc>
      </w:tr>
      <w:tr w14:paraId="1304D5C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21243AE8" w14:textId="1626C750">
            <w:r>
              <w:rPr>
                <w:noProof/>
              </w:rPr>
              <w:t>Arbeide i tråd med ergonomiske prinsipper, reflektere over hvordan støy og vibrasjon påvirker yrkesutøveren og iverksette tiltak</w:t>
            </w:r>
          </w:p>
        </w:tc>
        <w:tc>
          <w:tcPr>
            <w:tcW w:w="2835" w:type="dxa"/>
          </w:tcPr>
          <w:p w:rsidR="00960655" w:rsidP="00E67090" w14:paraId="05F49500" w14:textId="77777777"/>
        </w:tc>
      </w:tr>
      <w:tr w14:paraId="0BE4056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3B88FBCB" w14:textId="1C37A791">
            <w:r>
              <w:rPr>
                <w:noProof/>
              </w:rPr>
              <w:t>Reflektere over egen rolle som yrkesutøver, tilpasse kommunikasjon i ulike situasjoner og bruke fagterminologi for å kommunisere med kolleger og andre yrkesutøvere</w:t>
            </w:r>
          </w:p>
        </w:tc>
        <w:tc>
          <w:tcPr>
            <w:tcW w:w="2835" w:type="dxa"/>
          </w:tcPr>
          <w:p w:rsidR="00960655" w:rsidP="00E67090" w14:paraId="11307ACF" w14:textId="77777777"/>
        </w:tc>
      </w:tr>
      <w:tr w14:paraId="3BB1AAC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45B12993" w14:textId="69BD80A6">
            <w:r>
              <w:rPr>
                <w:noProof/>
              </w:rPr>
              <w:t>Behandle forurenset masse, uønskede planter og organismer og reflektere over konsekvensene av feilhåndtering og ulike løsninger som bidrar til å redusere miljøavtrykket og sikre effektiv ressursutnyttelse.</w:t>
            </w:r>
          </w:p>
        </w:tc>
        <w:tc>
          <w:tcPr>
            <w:tcW w:w="2835" w:type="dxa"/>
          </w:tcPr>
          <w:p w:rsidR="00960655" w:rsidP="00E67090" w14:paraId="3894B35C" w14:textId="77777777"/>
        </w:tc>
      </w:tr>
      <w:tr w14:paraId="5DF9185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29F1BD1C" w14:textId="0180CE87">
            <w:r>
              <w:rPr>
                <w:noProof/>
              </w:rPr>
              <w:t>Kildesortere og håndtere avfall etter gjeldende regelverk</w:t>
            </w:r>
          </w:p>
        </w:tc>
        <w:tc>
          <w:tcPr>
            <w:tcW w:w="2835" w:type="dxa"/>
          </w:tcPr>
          <w:p w:rsidR="00960655" w:rsidP="00E67090" w14:paraId="39F097B7" w14:textId="77777777"/>
        </w:tc>
      </w:tr>
      <w:tr w14:paraId="10E359D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382727FB" w14:textId="512A396C">
            <w:r>
              <w:rPr>
                <w:noProof/>
              </w:rPr>
              <w:t>Gjøre rede for og bruke kvalitetssikringssystemer og dokumentere eget arbeid</w:t>
            </w:r>
          </w:p>
        </w:tc>
        <w:tc>
          <w:tcPr>
            <w:tcW w:w="2835" w:type="dxa"/>
          </w:tcPr>
          <w:p w:rsidR="00960655" w:rsidP="00E67090" w14:paraId="51359D60" w14:textId="77777777"/>
        </w:tc>
      </w:tr>
      <w:tr w14:paraId="3A19D6D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7CFB8C5C" w14:textId="30059DE5">
            <w:r>
              <w:rPr>
                <w:noProof/>
              </w:rPr>
              <w:t>Vurdere farer ved gjenstående sprengstoff, varsle om fare og iverksette tiltak for å fjerne sprengstoff</w:t>
            </w:r>
          </w:p>
        </w:tc>
        <w:tc>
          <w:tcPr>
            <w:tcW w:w="2835" w:type="dxa"/>
          </w:tcPr>
          <w:p w:rsidR="00960655" w:rsidP="00E67090" w14:paraId="5944A925" w14:textId="77777777"/>
        </w:tc>
      </w:tr>
      <w:tr w14:paraId="6223111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60655" w:rsidP="00E67090" w14:paraId="0C54E81B" w14:textId="78318515">
            <w:r>
              <w:rPr>
                <w:noProof/>
              </w:rPr>
              <w:t>Arbeide etter regelverk og avtaler som regulerer arbeidsforholdet i faget, gjøre rede for pliktene og rettighetene til arbeidsgiveren og arbeidstakeren og reflektere over krav og forventinger som stilles til et likeverdig og inkluderende yrkesfellesskap</w:t>
            </w:r>
          </w:p>
        </w:tc>
        <w:tc>
          <w:tcPr>
            <w:tcW w:w="2835" w:type="dxa"/>
          </w:tcPr>
          <w:p w:rsidR="00960655" w:rsidP="00E67090" w14:paraId="3059050A" w14:textId="77777777"/>
        </w:tc>
      </w:tr>
    </w:tbl>
    <w:p w:rsidR="00960655" w:rsidRPr="00EC5D6F" w:rsidP="00CB42CB" w14:paraId="259AA278" w14:textId="77777777"/>
    <w:sectPr w:rsidSect="0096065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13177F"/>
    <w:rsid w:val="00131C4A"/>
    <w:rsid w:val="00133523"/>
    <w:rsid w:val="00150F02"/>
    <w:rsid w:val="001649F5"/>
    <w:rsid w:val="001B3629"/>
    <w:rsid w:val="001F339D"/>
    <w:rsid w:val="00230408"/>
    <w:rsid w:val="0023585C"/>
    <w:rsid w:val="002401B6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926C9"/>
    <w:rsid w:val="004B3FE3"/>
    <w:rsid w:val="004C3242"/>
    <w:rsid w:val="005263BD"/>
    <w:rsid w:val="005268BB"/>
    <w:rsid w:val="005518EC"/>
    <w:rsid w:val="005751E5"/>
    <w:rsid w:val="005A5E58"/>
    <w:rsid w:val="005B1D49"/>
    <w:rsid w:val="005E1AAE"/>
    <w:rsid w:val="005E6D5E"/>
    <w:rsid w:val="00680F4E"/>
    <w:rsid w:val="00697D3A"/>
    <w:rsid w:val="006A13C1"/>
    <w:rsid w:val="006A4979"/>
    <w:rsid w:val="0077093C"/>
    <w:rsid w:val="00783BAD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53080"/>
    <w:rsid w:val="00960655"/>
    <w:rsid w:val="009D4311"/>
    <w:rsid w:val="009F0F5B"/>
    <w:rsid w:val="00A4496E"/>
    <w:rsid w:val="00A47F53"/>
    <w:rsid w:val="00A610D4"/>
    <w:rsid w:val="00A67F53"/>
    <w:rsid w:val="00A71B33"/>
    <w:rsid w:val="00AA75C8"/>
    <w:rsid w:val="00AC2754"/>
    <w:rsid w:val="00B075F2"/>
    <w:rsid w:val="00B10D93"/>
    <w:rsid w:val="00B1647E"/>
    <w:rsid w:val="00B30DED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E048EF"/>
    <w:rsid w:val="00E215F4"/>
    <w:rsid w:val="00E67090"/>
    <w:rsid w:val="00E85E36"/>
    <w:rsid w:val="00EC5D6F"/>
    <w:rsid w:val="00EE4E15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0358AE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Anleggsmaskinførerfaget</dc:title>
  <dc:creator>Marius Løvdal</dc:creator>
  <cp:lastModifiedBy>Marius Løvdal</cp:lastModifiedBy>
  <cp:revision>1</cp:revision>
  <dcterms:created xsi:type="dcterms:W3CDTF">2025-03-27T08:11:00Z</dcterms:created>
  <dcterms:modified xsi:type="dcterms:W3CDTF">2025-03-27T08:11:00Z</dcterms:modified>
</cp:coreProperties>
</file>