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67090" w:rsidP="00E67090" w14:paraId="31E180A6" w14:textId="7D036A42">
      <w:pPr>
        <w:pStyle w:val="Title"/>
      </w:pPr>
      <w:r>
        <w:t xml:space="preserve">Egenevaluering av </w:t>
      </w:r>
      <w:r w:rsidR="00A67F53">
        <w:t>kompetanse</w:t>
      </w:r>
    </w:p>
    <w:p w:rsidR="005263BD" w:rsidP="00F0671C" w14:paraId="2F1CFB52" w14:textId="4EB29ED8">
      <w:r w:rsidRPr="00834171">
        <w:t xml:space="preserve">I dette skjemaet skal du vurdere om du har </w:t>
      </w:r>
      <w:r w:rsidRPr="00834171" w:rsidR="00834171">
        <w:t xml:space="preserve">kompetanse som tilfredsstiller </w:t>
      </w:r>
      <w:r w:rsidR="00BE7B29">
        <w:t>minimumskravene</w:t>
      </w:r>
      <w:r w:rsidR="005751E5">
        <w:t xml:space="preserve"> som kreves </w:t>
      </w:r>
      <w:r w:rsidR="005268BB">
        <w:t>før</w:t>
      </w:r>
      <w:r w:rsidR="005751E5">
        <w:t xml:space="preserve"> </w:t>
      </w:r>
      <w:r w:rsidR="005268BB">
        <w:t xml:space="preserve">man </w:t>
      </w:r>
      <w:r w:rsidR="000C59DC">
        <w:t xml:space="preserve">går </w:t>
      </w:r>
      <w:r w:rsidR="005751E5">
        <w:t>opp til en fagprøve</w:t>
      </w:r>
      <w:r w:rsidR="00131C4A">
        <w:t xml:space="preserve"> (læremål VG3</w:t>
      </w:r>
      <w:r w:rsidR="005A5E58">
        <w:t>)</w:t>
      </w:r>
      <w:r w:rsidR="00905029">
        <w:t xml:space="preserve">. Dette </w:t>
      </w:r>
      <w:r w:rsidR="00C14BE8">
        <w:t xml:space="preserve">er </w:t>
      </w:r>
      <w:r w:rsidR="000B4997">
        <w:t>kjerneprinsippet i en «top down vurdering</w:t>
      </w:r>
      <w:r w:rsidR="000A2A28">
        <w:t>»</w:t>
      </w:r>
      <w:r w:rsidR="000710F6">
        <w:t xml:space="preserve"> som vi bruker for å vurdere realkompetanse</w:t>
      </w:r>
      <w:r w:rsidR="00834171">
        <w:t>.</w:t>
      </w:r>
      <w:r w:rsidR="00905029">
        <w:t xml:space="preserve"> Egenevaluering er en av flere metoder som kan brukes</w:t>
      </w:r>
      <w:r w:rsidR="00BF4141">
        <w:t xml:space="preserve">, men </w:t>
      </w:r>
      <w:r w:rsidR="000C59DC">
        <w:t>den har</w:t>
      </w:r>
      <w:r w:rsidR="00BF4141">
        <w:t xml:space="preserve"> fordelen at den dokumenterer likeverdig kompetanse</w:t>
      </w:r>
      <w:r w:rsidR="00B30DED">
        <w:t xml:space="preserve"> effektivt</w:t>
      </w:r>
      <w:r w:rsidR="00BF4141">
        <w:t>.</w:t>
      </w:r>
    </w:p>
    <w:p w:rsidR="002A1FFE" w:rsidRPr="00953080" w:rsidP="002A1FFE" w14:paraId="50B68E4A" w14:textId="3BD753CF">
      <w:r w:rsidRPr="00953080">
        <w:t>Fagskolen i Finnmark vil</w:t>
      </w:r>
      <w:r w:rsidR="00BF4141">
        <w:t xml:space="preserve"> også</w:t>
      </w:r>
      <w:r w:rsidRPr="00953080">
        <w:t xml:space="preserve"> være sikre på at alle studenter </w:t>
      </w:r>
      <w:r w:rsidR="00C000C5">
        <w:t xml:space="preserve">enten </w:t>
      </w:r>
      <w:r w:rsidRPr="00953080">
        <w:t xml:space="preserve">har de nødvendige </w:t>
      </w:r>
      <w:r w:rsidRPr="00953080" w:rsidR="00376D15">
        <w:t xml:space="preserve">kvalifikasjonene </w:t>
      </w:r>
      <w:r w:rsidR="00376D15">
        <w:t>eller</w:t>
      </w:r>
      <w:r w:rsidR="008654A8">
        <w:t xml:space="preserve"> gis mulighet til å tilegne seg de relevante</w:t>
      </w:r>
      <w:r w:rsidR="00346479">
        <w:t xml:space="preserve"> kvalifikasjonene gjennom studiet</w:t>
      </w:r>
      <w:r w:rsidRPr="00953080">
        <w:t xml:space="preserve">. </w:t>
      </w:r>
      <w:r w:rsidR="004C3242">
        <w:t>Derfor</w:t>
      </w:r>
      <w:r w:rsidRPr="00953080">
        <w:t xml:space="preserve"> ønsker</w:t>
      </w:r>
      <w:r w:rsidR="004C3242">
        <w:t xml:space="preserve"> vi</w:t>
      </w:r>
      <w:r w:rsidRPr="00953080">
        <w:t xml:space="preserve"> at du vurderer dine egne ferdigheter, erfaringer og kunnskaper, da dette gir oss et klart bilde av din kompetanse.</w:t>
      </w:r>
      <w:r w:rsidR="00376D15">
        <w:t xml:space="preserve"> Og mulighet til å </w:t>
      </w:r>
      <w:r w:rsidRPr="00953080">
        <w:t>forstå dine sterke sider og områder som trenger mer oppmerksomhet i undervisningen</w:t>
      </w:r>
      <w:r w:rsidR="00376D15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134"/>
        <w:gridCol w:w="1701"/>
        <w:gridCol w:w="1275"/>
        <w:gridCol w:w="1843"/>
        <w:gridCol w:w="1667"/>
      </w:tblGrid>
      <w:tr w14:paraId="3500104A" w14:textId="77777777" w:rsidTr="00FF7C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6"/>
        </w:trPr>
        <w:tc>
          <w:tcPr>
            <w:tcW w:w="9288" w:type="dxa"/>
            <w:gridSpan w:val="6"/>
          </w:tcPr>
          <w:p w:rsidR="00C055A6" w:rsidRPr="00FF7CF8" w:rsidP="00C055A6" w14:paraId="3613E9E0" w14:textId="49AB1009">
            <w:pPr>
              <w:pStyle w:val="NoSpacing"/>
              <w:jc w:val="center"/>
              <w:rPr>
                <w:b/>
                <w:bCs/>
              </w:rPr>
            </w:pPr>
            <w:r w:rsidRPr="00FF7CF8">
              <w:rPr>
                <w:b/>
                <w:bCs/>
              </w:rPr>
              <w:t>Skala over kompetanse i emnet</w:t>
            </w:r>
          </w:p>
        </w:tc>
      </w:tr>
      <w:tr w14:paraId="4301D982" w14:textId="77777777" w:rsidTr="00BE7B29">
        <w:tblPrEx>
          <w:tblW w:w="0" w:type="auto"/>
          <w:tblLook w:val="04A0"/>
        </w:tblPrEx>
        <w:trPr>
          <w:trHeight w:val="246"/>
        </w:trPr>
        <w:tc>
          <w:tcPr>
            <w:tcW w:w="1668" w:type="dxa"/>
          </w:tcPr>
          <w:p w:rsidR="003D3660" w:rsidP="00B1647E" w14:paraId="7DEC5A7E" w14:textId="4293044F">
            <w:pPr>
              <w:pStyle w:val="NoSpacing"/>
            </w:pPr>
            <w:r w:rsidRPr="001F339D">
              <w:t>1</w:t>
            </w:r>
            <w:r>
              <w:t xml:space="preserve"> =</w:t>
            </w:r>
            <w:r w:rsidRPr="001F339D">
              <w:t xml:space="preserve"> svært lav</w:t>
            </w:r>
          </w:p>
        </w:tc>
        <w:tc>
          <w:tcPr>
            <w:tcW w:w="1134" w:type="dxa"/>
          </w:tcPr>
          <w:p w:rsidR="003D3660" w:rsidP="00B1647E" w14:paraId="6F588E35" w14:textId="1561F332">
            <w:pPr>
              <w:pStyle w:val="NoSpacing"/>
            </w:pPr>
            <w:r w:rsidRPr="001F339D">
              <w:t xml:space="preserve">2 </w:t>
            </w:r>
            <w:r>
              <w:t xml:space="preserve">= </w:t>
            </w:r>
            <w:r w:rsidRPr="001F339D">
              <w:t xml:space="preserve">lav </w:t>
            </w:r>
          </w:p>
        </w:tc>
        <w:tc>
          <w:tcPr>
            <w:tcW w:w="1701" w:type="dxa"/>
          </w:tcPr>
          <w:p w:rsidR="003D3660" w:rsidP="00B1647E" w14:paraId="33547087" w14:textId="08F3E93C">
            <w:pPr>
              <w:pStyle w:val="NoSpacing"/>
            </w:pPr>
            <w:r w:rsidRPr="001F339D">
              <w:t>3</w:t>
            </w:r>
            <w:r>
              <w:t xml:space="preserve"> =</w:t>
            </w:r>
            <w:r w:rsidRPr="001F339D">
              <w:t xml:space="preserve"> nokså god </w:t>
            </w:r>
          </w:p>
        </w:tc>
        <w:tc>
          <w:tcPr>
            <w:tcW w:w="1275" w:type="dxa"/>
          </w:tcPr>
          <w:p w:rsidR="003D3660" w:rsidP="00B1647E" w14:paraId="496DCCD3" w14:textId="2BED3994">
            <w:pPr>
              <w:pStyle w:val="NoSpacing"/>
            </w:pPr>
            <w:r w:rsidRPr="001F339D">
              <w:t>4</w:t>
            </w:r>
            <w:r>
              <w:t xml:space="preserve"> =</w:t>
            </w:r>
            <w:r w:rsidRPr="001F339D">
              <w:t xml:space="preserve"> god </w:t>
            </w:r>
          </w:p>
        </w:tc>
        <w:tc>
          <w:tcPr>
            <w:tcW w:w="1843" w:type="dxa"/>
          </w:tcPr>
          <w:p w:rsidR="003D3660" w:rsidP="00B1647E" w14:paraId="14579611" w14:textId="583E9151">
            <w:pPr>
              <w:pStyle w:val="NoSpacing"/>
            </w:pPr>
            <w:r w:rsidRPr="001F339D">
              <w:t>5</w:t>
            </w:r>
            <w:r>
              <w:t xml:space="preserve"> =</w:t>
            </w:r>
            <w:r w:rsidRPr="001F339D">
              <w:t xml:space="preserve"> </w:t>
            </w:r>
            <w:r w:rsidRPr="00B1647E" w:rsidR="00B1647E">
              <w:t>meget </w:t>
            </w:r>
            <w:r w:rsidRPr="001F339D">
              <w:t xml:space="preserve">god </w:t>
            </w:r>
          </w:p>
        </w:tc>
        <w:tc>
          <w:tcPr>
            <w:tcW w:w="1667" w:type="dxa"/>
          </w:tcPr>
          <w:p w:rsidR="003D3660" w:rsidP="00B1647E" w14:paraId="7F24D4BA" w14:textId="5738F5EC">
            <w:pPr>
              <w:pStyle w:val="NoSpacing"/>
            </w:pPr>
            <w:r w:rsidRPr="001F339D">
              <w:t>6</w:t>
            </w:r>
            <w:r>
              <w:t xml:space="preserve"> =</w:t>
            </w:r>
            <w:r w:rsidRPr="001F339D">
              <w:t xml:space="preserve"> svært god </w:t>
            </w:r>
          </w:p>
        </w:tc>
      </w:tr>
    </w:tbl>
    <w:p w:rsidR="003D3660" w:rsidRPr="008C1F87" w:rsidP="008C1F87" w14:paraId="721496E8" w14:textId="77777777">
      <w:pPr>
        <w:pStyle w:val="NoSpacing"/>
      </w:pPr>
    </w:p>
    <w:tbl>
      <w:tblPr>
        <w:tblStyle w:val="PlainTable1"/>
        <w:tblW w:w="0" w:type="auto"/>
        <w:tblLook w:val="0420"/>
      </w:tblPr>
      <w:tblGrid>
        <w:gridCol w:w="7054"/>
        <w:gridCol w:w="2234"/>
      </w:tblGrid>
      <w:tr w14:paraId="522EBA7A" w14:textId="1BF25FB6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RPr="00E67090" w:rsidP="00274EA2" w14:paraId="5B3D1A81" w14:textId="77975842">
            <w:r>
              <w:t>Vg3 fiske og fangst (FFA03</w:t>
            </w:r>
            <w:r>
              <w:rPr>
                <w:rFonts w:ascii="Cambria Math" w:hAnsi="Cambria Math" w:cs="Cambria Math"/>
              </w:rPr>
              <w:t>‑</w:t>
            </w:r>
            <w:r>
              <w:t xml:space="preserve">03) Kompetansemål </w:t>
            </w:r>
            <w:r w:rsidR="00C765D3">
              <w:t>for</w:t>
            </w:r>
            <w:r>
              <w:t xml:space="preserve"> vurdering</w:t>
            </w:r>
          </w:p>
        </w:tc>
        <w:tc>
          <w:tcPr>
            <w:tcW w:w="2234" w:type="dxa"/>
          </w:tcPr>
          <w:p w:rsidR="008A065E" w:rsidP="003D3660" w14:paraId="3C4E994A" w14:textId="149C3BD7">
            <w:r>
              <w:t>Min kompetanse 1-6</w:t>
            </w:r>
          </w:p>
        </w:tc>
      </w:tr>
      <w:tr w14:paraId="032131EA" w14:textId="1580683B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60A3B344" w14:textId="2B849B4D">
            <w:r>
              <w:t>Planlegge, gjennomføre, vurdere og dokumentere fiske og fangst på fartøy i tråd med gjeldende regelverk.</w:t>
            </w:r>
          </w:p>
        </w:tc>
        <w:tc>
          <w:tcPr>
            <w:tcW w:w="2234" w:type="dxa"/>
          </w:tcPr>
          <w:p w:rsidR="00A67F53" w:rsidP="00E67090" w14:paraId="7A2B651D" w14:textId="664FC6E1"/>
        </w:tc>
      </w:tr>
      <w:tr w14:paraId="36969238" w14:textId="7549E35E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40AC8C7E" w14:textId="49743D05">
            <w:r>
              <w:t>Gjennomføre førstehåndshåndtering, behandling og oppbevaring av fangst om bord som sikrer råstoffkvaliteten i henhold til gjeldende regelverk.</w:t>
            </w:r>
          </w:p>
        </w:tc>
        <w:tc>
          <w:tcPr>
            <w:tcW w:w="2234" w:type="dxa"/>
          </w:tcPr>
          <w:p w:rsidR="00A67F53" w:rsidP="00E67090" w14:paraId="2EA47659" w14:textId="1D8D8174"/>
        </w:tc>
      </w:tr>
      <w:tr w14:paraId="3D67BC1D" w14:textId="127C2043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71B16474" w14:textId="4FA875AF">
            <w:r>
              <w:t>Levere sjømatprodukter til landanlegg etter gjeldende kvalitetsforskrifter og markedskrav.</w:t>
            </w:r>
          </w:p>
        </w:tc>
        <w:tc>
          <w:tcPr>
            <w:tcW w:w="2234" w:type="dxa"/>
          </w:tcPr>
          <w:p w:rsidR="00A67F53" w:rsidP="00E67090" w14:paraId="3EEE64B6" w14:textId="58ABFF34"/>
        </w:tc>
      </w:tr>
      <w:tr w14:paraId="3FABB24D" w14:textId="18D02B57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044AABC1" w14:textId="38E40DBD">
            <w:r>
              <w:t>Vurdere og gjennomføre vedlikehold og reparasjon av fiskeredskaper.</w:t>
            </w:r>
          </w:p>
        </w:tc>
        <w:tc>
          <w:tcPr>
            <w:tcW w:w="2234" w:type="dxa"/>
          </w:tcPr>
          <w:p w:rsidR="00A67F53" w:rsidP="00E67090" w14:paraId="051B6347" w14:textId="596A5358"/>
        </w:tc>
      </w:tr>
      <w:tr w14:paraId="572DBEB0" w14:textId="6D938379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065A7456" w14:textId="10F94FAA">
            <w:r>
              <w:t>Bruke sikkerhetsstyringssystem, vurdere risiko og ivareta helse og sikkerhet om bord etter gjeldende regelverk.</w:t>
            </w:r>
          </w:p>
        </w:tc>
        <w:tc>
          <w:tcPr>
            <w:tcW w:w="2234" w:type="dxa"/>
          </w:tcPr>
          <w:p w:rsidR="00A67F53" w:rsidP="00E67090" w14:paraId="4F27B245" w14:textId="77777777"/>
        </w:tc>
      </w:tr>
      <w:tr w14:paraId="50FFBC84" w14:textId="026B0B2F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04BFE6A3" w14:textId="7DEFE61C">
            <w:r>
              <w:t>Gjennomføre arbeid slik at fysisk helse blir ivaretatt, og vurdere om arbeidet kan forbedres med hensyn til ergonomi.</w:t>
            </w:r>
          </w:p>
        </w:tc>
        <w:tc>
          <w:tcPr>
            <w:tcW w:w="2234" w:type="dxa"/>
          </w:tcPr>
          <w:p w:rsidR="00A67F53" w:rsidP="00E67090" w14:paraId="5F98C078" w14:textId="77777777"/>
        </w:tc>
      </w:tr>
      <w:tr w14:paraId="49474B56" w14:textId="6388C78F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69ED223C" w14:textId="4F21FF87">
            <w:r>
              <w:t>Følge prosedyrer i beredskaps- og nødssituasjoner, vurdere situasjonen og bruke brann- og redningsutstyr.</w:t>
            </w:r>
          </w:p>
        </w:tc>
        <w:tc>
          <w:tcPr>
            <w:tcW w:w="2234" w:type="dxa"/>
          </w:tcPr>
          <w:p w:rsidR="00A67F53" w:rsidP="00E67090" w14:paraId="115CACA4" w14:textId="77777777"/>
        </w:tc>
      </w:tr>
      <w:tr w14:paraId="0E25BE32" w14:textId="65FFFF7F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09369604" w14:textId="58FE341E">
            <w:r>
              <w:t>Forebygge og begrense forurensning i tråd med nasjonalt og internasjonalt regelverk, og reflektere over hvordan driften av eget fartøy påvirker miljøet.</w:t>
            </w:r>
          </w:p>
        </w:tc>
        <w:tc>
          <w:tcPr>
            <w:tcW w:w="2234" w:type="dxa"/>
          </w:tcPr>
          <w:p w:rsidR="00A67F53" w:rsidP="00E67090" w14:paraId="28F9A9EB" w14:textId="77777777"/>
        </w:tc>
      </w:tr>
      <w:tr w14:paraId="44E956A7" w14:textId="3EF49872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16F4B5A6" w14:textId="46AE2B18">
            <w:r>
              <w:t>Planlegge og gjennomføre lasting og lossing, og vurdere hvordan dette påvirker stabiliteten til fartøyet.</w:t>
            </w:r>
          </w:p>
        </w:tc>
        <w:tc>
          <w:tcPr>
            <w:tcW w:w="2234" w:type="dxa"/>
          </w:tcPr>
          <w:p w:rsidR="00A67F53" w:rsidP="00E67090" w14:paraId="488935B7" w14:textId="77777777"/>
        </w:tc>
      </w:tr>
      <w:tr w14:paraId="1FD13238" w14:textId="4AA13F01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6BF136D3" w14:textId="378041AC">
            <w:r>
              <w:t>Bruke ISPS-koden ved anløp til havner som krever det.</w:t>
            </w:r>
          </w:p>
        </w:tc>
        <w:tc>
          <w:tcPr>
            <w:tcW w:w="2234" w:type="dxa"/>
          </w:tcPr>
          <w:p w:rsidR="00A67F53" w:rsidP="00E67090" w14:paraId="26FADFFB" w14:textId="77777777"/>
        </w:tc>
      </w:tr>
      <w:tr w14:paraId="00ED3785" w14:textId="409ED2E6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56511DB3" w14:textId="2777947A">
            <w:r>
              <w:t>Registrere og rapportere avvik i samsvar med vedlikeholds- og sikkerhetsstyringssystemer og forklare hvordan et slikt system kan bidra til å effektivisere driften.</w:t>
            </w:r>
          </w:p>
        </w:tc>
        <w:tc>
          <w:tcPr>
            <w:tcW w:w="2234" w:type="dxa"/>
          </w:tcPr>
          <w:p w:rsidR="00A67F53" w:rsidP="00E67090" w14:paraId="280D96CA" w14:textId="77777777"/>
        </w:tc>
      </w:tr>
      <w:tr w14:paraId="1FBAD7CD" w14:textId="4E1EB328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2ED4407D" w14:textId="5DF58586">
            <w:r>
              <w:t>Bruke og følge veiledninger og retningslinjer for oppbevaring og merking av kjemikalier og helseskadelige stoffer.</w:t>
            </w:r>
          </w:p>
        </w:tc>
        <w:tc>
          <w:tcPr>
            <w:tcW w:w="2234" w:type="dxa"/>
          </w:tcPr>
          <w:p w:rsidR="00A67F53" w:rsidP="00E67090" w14:paraId="0ACBE9DD" w14:textId="77777777"/>
        </w:tc>
      </w:tr>
      <w:tr w14:paraId="29F48104" w14:textId="2FB3ACD8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13AB33F2" w14:textId="24062F7A">
            <w:r>
              <w:t>Merke og sikre last i tråd med gjeldende regelverk.</w:t>
            </w:r>
          </w:p>
        </w:tc>
        <w:tc>
          <w:tcPr>
            <w:tcW w:w="2234" w:type="dxa"/>
          </w:tcPr>
          <w:p w:rsidR="00A67F53" w:rsidP="00E67090" w14:paraId="1AFAABEB" w14:textId="77777777"/>
        </w:tc>
      </w:tr>
      <w:tr w14:paraId="4B6036EC" w14:textId="19AA6270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1FFD16CB" w14:textId="4527D905">
            <w:r>
              <w:t>Rapportere og dokumentere arbeidsoppgaver på engelsk og norsk.</w:t>
            </w:r>
          </w:p>
        </w:tc>
        <w:tc>
          <w:tcPr>
            <w:tcW w:w="2234" w:type="dxa"/>
          </w:tcPr>
          <w:p w:rsidR="00A67F53" w:rsidP="00E67090" w14:paraId="388F12DE" w14:textId="77777777"/>
        </w:tc>
      </w:tr>
      <w:tr w14:paraId="0B5276A3" w14:textId="65C9B17F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32E4B723" w14:textId="759DF22D">
            <w:r>
              <w:t>Gjennomføre vakthold og utkikkstjeneste i samsvar med instruks, og ta imot rorkommando på norsk og engelsk.</w:t>
            </w:r>
          </w:p>
        </w:tc>
        <w:tc>
          <w:tcPr>
            <w:tcW w:w="2234" w:type="dxa"/>
          </w:tcPr>
          <w:p w:rsidR="00A67F53" w:rsidP="00E67090" w14:paraId="05AB48C1" w14:textId="77777777"/>
        </w:tc>
      </w:tr>
      <w:tr w14:paraId="364DB52E" w14:textId="0DD23C3D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26A8D705" w14:textId="5E2C81CC">
            <w:r>
              <w:t>Gjøre rede for og ta hensyn til driftsbegrensninger på bakgrunn av meteorologiske observasjoner og værmeldinger, og vurdere hvordan vær og vind kan påvirke sikkerhet til mannskap, fartøy og last.</w:t>
            </w:r>
          </w:p>
        </w:tc>
        <w:tc>
          <w:tcPr>
            <w:tcW w:w="2234" w:type="dxa"/>
          </w:tcPr>
          <w:p w:rsidR="00A67F53" w:rsidP="00E67090" w14:paraId="555DA5BC" w14:textId="77777777"/>
        </w:tc>
      </w:tr>
      <w:tr w14:paraId="3AED090D" w14:textId="088A8B77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1344368A" w14:textId="3281050D">
            <w:r>
              <w:t>Gjøre rede for sammenhenger mellom omsetning, fangstinntekter, lott og hyreoppgjør.</w:t>
            </w:r>
          </w:p>
        </w:tc>
        <w:tc>
          <w:tcPr>
            <w:tcW w:w="2234" w:type="dxa"/>
          </w:tcPr>
          <w:p w:rsidR="00A67F53" w:rsidP="00E67090" w14:paraId="46150A1B" w14:textId="77777777"/>
        </w:tc>
      </w:tr>
      <w:tr w14:paraId="69FBBE12" w14:textId="6254D09F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23D62951" w14:textId="79B7BAD6">
            <w:r>
              <w:t>Bruke dekksutstyr, maskiner, instrumenter og redskaper på fartøy i tråd med gjeldende regelverk.</w:t>
            </w:r>
          </w:p>
        </w:tc>
        <w:tc>
          <w:tcPr>
            <w:tcW w:w="2234" w:type="dxa"/>
          </w:tcPr>
          <w:p w:rsidR="00A67F53" w:rsidP="00E67090" w14:paraId="6AD45846" w14:textId="77777777"/>
        </w:tc>
      </w:tr>
      <w:tr w14:paraId="43C1647C" w14:textId="5086079C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7922B687" w14:textId="6D38C43B">
            <w:r>
              <w:t>Gjennomføre og dokumentere daglig ettersyn og vedlikehold av fartøy og utstyr i tråd med vedlikeholdssystemet på fartøyet.</w:t>
            </w:r>
          </w:p>
        </w:tc>
        <w:tc>
          <w:tcPr>
            <w:tcW w:w="2234" w:type="dxa"/>
          </w:tcPr>
          <w:p w:rsidR="00A67F53" w:rsidP="00E67090" w14:paraId="40DEC270" w14:textId="77777777"/>
        </w:tc>
      </w:tr>
      <w:tr w14:paraId="7655D6DD" w14:textId="0C9596D9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19F8BC20" w14:textId="5620C1D0">
            <w:r>
              <w:t>Bruke navigasjonsinstrumenter og navigasjonshjelpemidler for å planlegge, gjennomføre og vurdere sikker seilas.</w:t>
            </w:r>
          </w:p>
        </w:tc>
        <w:tc>
          <w:tcPr>
            <w:tcW w:w="2234" w:type="dxa"/>
          </w:tcPr>
          <w:p w:rsidR="00A67F53" w:rsidP="00E67090" w14:paraId="61C8C597" w14:textId="77777777"/>
        </w:tc>
      </w:tr>
      <w:tr w14:paraId="31475186" w14:textId="25736C96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73697F58" w14:textId="180F5394">
            <w:r>
              <w:t>Bruke fortøynings- og ankringsutstyr, og vurdere tilstanden på utstyret.</w:t>
            </w:r>
          </w:p>
        </w:tc>
        <w:tc>
          <w:tcPr>
            <w:tcW w:w="2234" w:type="dxa"/>
          </w:tcPr>
          <w:p w:rsidR="00A67F53" w:rsidP="00E67090" w14:paraId="58196D57" w14:textId="77777777"/>
        </w:tc>
      </w:tr>
      <w:tr w14:paraId="36ABB258" w14:textId="75482691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770FDD5A" w14:textId="73E59C21">
            <w:r>
              <w:t>Kommunisere med maritim radio på norsk og engelsk etter gjeldende regelverk.</w:t>
            </w:r>
          </w:p>
        </w:tc>
        <w:tc>
          <w:tcPr>
            <w:tcW w:w="2234" w:type="dxa"/>
          </w:tcPr>
          <w:p w:rsidR="00A67F53" w:rsidP="00E67090" w14:paraId="6BFC75C5" w14:textId="77777777"/>
        </w:tc>
      </w:tr>
      <w:tr w14:paraId="7C53DF95" w14:textId="517DAC29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724280CB" w14:textId="38B55070">
            <w:r>
              <w:t>Utøve fiske og fangst på en bærekraftig måte i tråd med miljøkrav og drøfte konsekvensene av overbeskatning.</w:t>
            </w:r>
          </w:p>
        </w:tc>
        <w:tc>
          <w:tcPr>
            <w:tcW w:w="2234" w:type="dxa"/>
          </w:tcPr>
          <w:p w:rsidR="00A67F53" w:rsidP="00E67090" w14:paraId="5D42782F" w14:textId="77777777"/>
        </w:tc>
      </w:tr>
      <w:tr w14:paraId="7555EA92" w14:textId="212DDA61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385022DB" w14:textId="7C14DA06">
            <w:r>
              <w:t>Bruke metoder for seleksjon og fangstbegrensning med ulike redskaper, og vurdere effekten av disse metodene.</w:t>
            </w:r>
          </w:p>
        </w:tc>
        <w:tc>
          <w:tcPr>
            <w:tcW w:w="2234" w:type="dxa"/>
          </w:tcPr>
          <w:p w:rsidR="00A67F53" w:rsidP="00E67090" w14:paraId="771F8BA2" w14:textId="77777777"/>
        </w:tc>
      </w:tr>
      <w:tr w14:paraId="0FD79AFD" w14:textId="062F4B72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72144CEA" w14:textId="5D6189D7">
            <w:r>
              <w:t>Gjennomføre hygiene og renhold om bord på aktuelt fartøy etter gjeldende regelverk, standarder og kvalitetssystemer.</w:t>
            </w:r>
          </w:p>
        </w:tc>
        <w:tc>
          <w:tcPr>
            <w:tcW w:w="2234" w:type="dxa"/>
          </w:tcPr>
          <w:p w:rsidR="00A67F53" w:rsidP="00E67090" w14:paraId="5F6E0F88" w14:textId="77777777"/>
        </w:tc>
      </w:tr>
      <w:tr w14:paraId="0685EFC8" w14:textId="2AD177BD" w:rsidTr="00E048EF">
        <w:tblPrEx>
          <w:tblW w:w="0" w:type="auto"/>
          <w:tblLook w:val="0420"/>
        </w:tblPrEx>
        <w:tc>
          <w:tcPr>
            <w:tcW w:w="7054" w:type="dxa"/>
          </w:tcPr>
          <w:p w:rsidR="00A67F53" w:rsidP="00E67090" w14:paraId="32CD3C10" w14:textId="5B4C8773">
            <w:r>
              <w:t>Arbeide etter regelverk og avtaler som regulerer arbeidsforholdet i faget, og gjøre rede for arbeidsgiverens og arbeidstakerens plikter og rettigheter.</w:t>
            </w:r>
          </w:p>
        </w:tc>
        <w:tc>
          <w:tcPr>
            <w:tcW w:w="2234" w:type="dxa"/>
          </w:tcPr>
          <w:p w:rsidR="00A67F53" w:rsidP="00E67090" w14:paraId="40EB4B7A" w14:textId="77777777"/>
        </w:tc>
      </w:tr>
    </w:tbl>
    <w:p w:rsidR="001F339D" w:rsidP="00133523" w14:paraId="5DFFFA47" w14:textId="77777777"/>
    <w:sectPr w:rsidSect="00FF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9F0C87"/>
    <w:multiLevelType w:val="multilevel"/>
    <w:tmpl w:val="761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701FE"/>
    <w:multiLevelType w:val="multilevel"/>
    <w:tmpl w:val="199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444524">
    <w:abstractNumId w:val="1"/>
  </w:num>
  <w:num w:numId="2" w16cid:durableId="142326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E9"/>
    <w:rsid w:val="0002049A"/>
    <w:rsid w:val="00040F50"/>
    <w:rsid w:val="00052B21"/>
    <w:rsid w:val="00065DDA"/>
    <w:rsid w:val="000710F6"/>
    <w:rsid w:val="000A2A28"/>
    <w:rsid w:val="000B4997"/>
    <w:rsid w:val="000C59DC"/>
    <w:rsid w:val="0013177F"/>
    <w:rsid w:val="00131C4A"/>
    <w:rsid w:val="00133523"/>
    <w:rsid w:val="00150F02"/>
    <w:rsid w:val="001649F5"/>
    <w:rsid w:val="001F339D"/>
    <w:rsid w:val="00230408"/>
    <w:rsid w:val="0023585C"/>
    <w:rsid w:val="002401B6"/>
    <w:rsid w:val="00274EA2"/>
    <w:rsid w:val="002A1FFE"/>
    <w:rsid w:val="002C36E4"/>
    <w:rsid w:val="002D1A5C"/>
    <w:rsid w:val="002E3322"/>
    <w:rsid w:val="002E37F6"/>
    <w:rsid w:val="003120BC"/>
    <w:rsid w:val="00346479"/>
    <w:rsid w:val="00376D15"/>
    <w:rsid w:val="00395A40"/>
    <w:rsid w:val="003D3660"/>
    <w:rsid w:val="004926C9"/>
    <w:rsid w:val="004B3FE3"/>
    <w:rsid w:val="004C3242"/>
    <w:rsid w:val="005263BD"/>
    <w:rsid w:val="005268BB"/>
    <w:rsid w:val="005518EC"/>
    <w:rsid w:val="005751E5"/>
    <w:rsid w:val="005A5E58"/>
    <w:rsid w:val="005E1AAE"/>
    <w:rsid w:val="005E6D5E"/>
    <w:rsid w:val="00680F4E"/>
    <w:rsid w:val="00697D3A"/>
    <w:rsid w:val="006A4979"/>
    <w:rsid w:val="0077093C"/>
    <w:rsid w:val="00801C67"/>
    <w:rsid w:val="00834171"/>
    <w:rsid w:val="008654A8"/>
    <w:rsid w:val="008921E2"/>
    <w:rsid w:val="00894A70"/>
    <w:rsid w:val="008A065E"/>
    <w:rsid w:val="008C1F87"/>
    <w:rsid w:val="00905029"/>
    <w:rsid w:val="00953080"/>
    <w:rsid w:val="009D4311"/>
    <w:rsid w:val="009F0F5B"/>
    <w:rsid w:val="00A4496E"/>
    <w:rsid w:val="00A47F53"/>
    <w:rsid w:val="00A67F53"/>
    <w:rsid w:val="00AA75C8"/>
    <w:rsid w:val="00B075F2"/>
    <w:rsid w:val="00B10D93"/>
    <w:rsid w:val="00B1647E"/>
    <w:rsid w:val="00B30DED"/>
    <w:rsid w:val="00BE024A"/>
    <w:rsid w:val="00BE7B29"/>
    <w:rsid w:val="00BF4141"/>
    <w:rsid w:val="00C000C5"/>
    <w:rsid w:val="00C055A6"/>
    <w:rsid w:val="00C0563A"/>
    <w:rsid w:val="00C14BE8"/>
    <w:rsid w:val="00C444C9"/>
    <w:rsid w:val="00C50093"/>
    <w:rsid w:val="00C765D3"/>
    <w:rsid w:val="00CE0570"/>
    <w:rsid w:val="00D7015C"/>
    <w:rsid w:val="00D76DE9"/>
    <w:rsid w:val="00E048EF"/>
    <w:rsid w:val="00E215F4"/>
    <w:rsid w:val="00E67090"/>
    <w:rsid w:val="00EE7CDF"/>
    <w:rsid w:val="00F0671C"/>
    <w:rsid w:val="00F20872"/>
    <w:rsid w:val="00F30EDF"/>
    <w:rsid w:val="00F555B7"/>
    <w:rsid w:val="00FF7CF8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8770BC"/>
  <w15:chartTrackingRefBased/>
  <w15:docId w15:val="{4035DAB1-F4EB-4DA5-BD61-6890BC4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D7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D7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D7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D7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D7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D7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D7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D7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D7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D7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D7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D7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D76D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D76D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D76D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D76D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D76D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D76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D7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D7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D7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D7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D7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D76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D7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D76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D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670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C1F87"/>
    <w:pPr>
      <w:spacing w:after="0" w:line="240" w:lineRule="auto"/>
    </w:pPr>
  </w:style>
  <w:style w:type="paragraph" w:styleId="Header">
    <w:name w:val="header"/>
    <w:basedOn w:val="Normal"/>
    <w:link w:val="TopptekstTegn"/>
    <w:uiPriority w:val="99"/>
    <w:unhideWhenUsed/>
    <w:rsid w:val="002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2E3322"/>
  </w:style>
  <w:style w:type="paragraph" w:styleId="Footer">
    <w:name w:val="footer"/>
    <w:basedOn w:val="Normal"/>
    <w:link w:val="BunntekstTegn"/>
    <w:uiPriority w:val="99"/>
    <w:unhideWhenUsed/>
    <w:rsid w:val="002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2E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614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Egenevaluering Fisker</dc:title>
  <dc:creator>Marius Løvdal</dc:creator>
  <cp:lastModifiedBy>Marius Løvdal</cp:lastModifiedBy>
  <cp:revision>66</cp:revision>
  <dcterms:created xsi:type="dcterms:W3CDTF">2025-03-21T12:18:00Z</dcterms:created>
  <dcterms:modified xsi:type="dcterms:W3CDTF">2025-03-26T13:00:00Z</dcterms:modified>
</cp:coreProperties>
</file>