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354100" w:rsidP="00354100" w14:paraId="1CFE60B8" w14:textId="77777777">
      <w:pPr>
        <w:pStyle w:val="Title"/>
      </w:pPr>
      <w:r>
        <w:t>Egenevaluering av kompetanse</w:t>
      </w:r>
    </w:p>
    <w:p w:rsidR="00354100" w:rsidP="00354100" w14:paraId="65D12A37" w14:textId="77777777">
      <w:r w:rsidRPr="00834171">
        <w:t xml:space="preserve">I dette skjemaet skal du vurdere om du har kompetanse som tilfredsstiller </w:t>
      </w:r>
      <w:r>
        <w:t>minimumskravene som kreves før man går opp til en fagprøve (læremål VG3. Dette er kjerneprinsippet i en «</w:t>
      </w:r>
      <w:r>
        <w:t>top</w:t>
      </w:r>
      <w:r>
        <w:t xml:space="preserve"> </w:t>
      </w:r>
      <w:r>
        <w:t>down</w:t>
      </w:r>
      <w:r>
        <w:t xml:space="preserve"> vurdering» som vi bruker for å vurdere realkompetanse. Egenevaluering er en av flere metoder som kan brukes, men den har fordelen at den dokumenterer likeverdig kompetanse effektivt.</w:t>
      </w:r>
    </w:p>
    <w:p w:rsidR="00354100" w:rsidP="00354100" w14:paraId="244D62BD" w14:textId="77777777">
      <w:r w:rsidRPr="00953080">
        <w:t>Fagskolen i Finnmark vil</w:t>
      </w:r>
      <w:r>
        <w:t xml:space="preserve"> også</w:t>
      </w:r>
      <w:r w:rsidRPr="00953080">
        <w:t xml:space="preserve"> være sikre på at alle studenter </w:t>
      </w:r>
      <w:r>
        <w:t xml:space="preserve">enten </w:t>
      </w:r>
      <w:r w:rsidRPr="00953080">
        <w:t xml:space="preserve">har de nødvendige kvalifikasjonene </w:t>
      </w:r>
      <w:r>
        <w:t>eller gis mulighet til å tilegne seg de relevante kvalifikasjonene gjennom studiet</w:t>
      </w:r>
      <w:r w:rsidRPr="00953080">
        <w:t xml:space="preserve">. </w:t>
      </w:r>
      <w:r>
        <w:t>Derfor</w:t>
      </w:r>
      <w:r w:rsidRPr="00953080">
        <w:t xml:space="preserve"> ønsker</w:t>
      </w:r>
      <w:r>
        <w:t xml:space="preserve"> vi</w:t>
      </w:r>
      <w:r w:rsidRPr="00953080">
        <w:t xml:space="preserve"> at du vurderer dine egne ferdigheter, erfaringer og kunnskaper, da dette gir oss et klart bilde av din kompetanse.</w:t>
      </w:r>
      <w:r>
        <w:t xml:space="preserve"> Og mulighet til å </w:t>
      </w:r>
      <w:r w:rsidRPr="00953080">
        <w:t>forstå dine sterke sider og områder som trenger mer oppmerksomhet i undervisningen</w:t>
      </w:r>
      <w: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1134"/>
        <w:gridCol w:w="1701"/>
        <w:gridCol w:w="1275"/>
        <w:gridCol w:w="1843"/>
        <w:gridCol w:w="1667"/>
      </w:tblGrid>
      <w:tr w14:paraId="524955BF" w14:textId="77777777" w:rsidTr="001C719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46"/>
        </w:trPr>
        <w:tc>
          <w:tcPr>
            <w:tcW w:w="9288" w:type="dxa"/>
            <w:gridSpan w:val="6"/>
          </w:tcPr>
          <w:p w:rsidR="00354100" w:rsidRPr="00FF7CF8" w:rsidP="001C7190" w14:paraId="47D1AF92" w14:textId="77777777">
            <w:pPr>
              <w:pStyle w:val="NoSpacing"/>
              <w:jc w:val="center"/>
              <w:rPr>
                <w:b/>
                <w:bCs/>
              </w:rPr>
            </w:pPr>
            <w:r w:rsidRPr="00FF7CF8">
              <w:rPr>
                <w:b/>
                <w:bCs/>
              </w:rPr>
              <w:t>Skala over kompetanse i emnet</w:t>
            </w:r>
          </w:p>
        </w:tc>
      </w:tr>
      <w:tr w14:paraId="7BE9ECC9" w14:textId="77777777" w:rsidTr="001C7190">
        <w:tblPrEx>
          <w:tblW w:w="0" w:type="auto"/>
          <w:tblLook w:val="04A0"/>
        </w:tblPrEx>
        <w:trPr>
          <w:trHeight w:val="246"/>
        </w:trPr>
        <w:tc>
          <w:tcPr>
            <w:tcW w:w="1668" w:type="dxa"/>
          </w:tcPr>
          <w:p w:rsidR="00354100" w:rsidP="001C7190" w14:paraId="626B54D4" w14:textId="77777777">
            <w:pPr>
              <w:pStyle w:val="NoSpacing"/>
            </w:pPr>
            <w:r w:rsidRPr="001F339D">
              <w:t>1</w:t>
            </w:r>
            <w:r>
              <w:t xml:space="preserve"> =</w:t>
            </w:r>
            <w:r w:rsidRPr="001F339D">
              <w:t xml:space="preserve"> svært lav</w:t>
            </w:r>
          </w:p>
        </w:tc>
        <w:tc>
          <w:tcPr>
            <w:tcW w:w="1134" w:type="dxa"/>
          </w:tcPr>
          <w:p w:rsidR="00354100" w:rsidP="001C7190" w14:paraId="4AA23E0E" w14:textId="77777777">
            <w:pPr>
              <w:pStyle w:val="NoSpacing"/>
            </w:pPr>
            <w:r w:rsidRPr="001F339D">
              <w:t xml:space="preserve">2 </w:t>
            </w:r>
            <w:r>
              <w:t xml:space="preserve">= </w:t>
            </w:r>
            <w:r w:rsidRPr="001F339D">
              <w:t xml:space="preserve">lav </w:t>
            </w:r>
          </w:p>
        </w:tc>
        <w:tc>
          <w:tcPr>
            <w:tcW w:w="1701" w:type="dxa"/>
          </w:tcPr>
          <w:p w:rsidR="00354100" w:rsidP="001C7190" w14:paraId="4D336E49" w14:textId="77777777">
            <w:pPr>
              <w:pStyle w:val="NoSpacing"/>
            </w:pPr>
            <w:r w:rsidRPr="001F339D">
              <w:t>3</w:t>
            </w:r>
            <w:r>
              <w:t xml:space="preserve"> =</w:t>
            </w:r>
            <w:r w:rsidRPr="001F339D">
              <w:t xml:space="preserve"> nokså god </w:t>
            </w:r>
          </w:p>
        </w:tc>
        <w:tc>
          <w:tcPr>
            <w:tcW w:w="1275" w:type="dxa"/>
          </w:tcPr>
          <w:p w:rsidR="00354100" w:rsidP="001C7190" w14:paraId="491AC022" w14:textId="77777777">
            <w:pPr>
              <w:pStyle w:val="NoSpacing"/>
            </w:pPr>
            <w:r w:rsidRPr="001F339D">
              <w:t>4</w:t>
            </w:r>
            <w:r>
              <w:t xml:space="preserve"> =</w:t>
            </w:r>
            <w:r w:rsidRPr="001F339D">
              <w:t xml:space="preserve"> god </w:t>
            </w:r>
          </w:p>
        </w:tc>
        <w:tc>
          <w:tcPr>
            <w:tcW w:w="1843" w:type="dxa"/>
          </w:tcPr>
          <w:p w:rsidR="00354100" w:rsidP="001C7190" w14:paraId="2249BB7C" w14:textId="77777777">
            <w:pPr>
              <w:pStyle w:val="NoSpacing"/>
            </w:pPr>
            <w:r w:rsidRPr="001F339D">
              <w:t>5</w:t>
            </w:r>
            <w:r>
              <w:t xml:space="preserve"> =</w:t>
            </w:r>
            <w:r w:rsidRPr="001F339D">
              <w:t xml:space="preserve"> </w:t>
            </w:r>
            <w:r w:rsidRPr="00B1647E">
              <w:t>meget </w:t>
            </w:r>
            <w:r w:rsidRPr="001F339D">
              <w:t xml:space="preserve">god </w:t>
            </w:r>
          </w:p>
        </w:tc>
        <w:tc>
          <w:tcPr>
            <w:tcW w:w="1667" w:type="dxa"/>
          </w:tcPr>
          <w:p w:rsidR="00354100" w:rsidP="001C7190" w14:paraId="01AA4371" w14:textId="77777777">
            <w:pPr>
              <w:pStyle w:val="NoSpacing"/>
            </w:pPr>
            <w:r w:rsidRPr="001F339D">
              <w:t>6</w:t>
            </w:r>
            <w:r>
              <w:t xml:space="preserve"> =</w:t>
            </w:r>
            <w:r w:rsidRPr="001F339D">
              <w:t xml:space="preserve"> svært god </w:t>
            </w:r>
          </w:p>
        </w:tc>
      </w:tr>
    </w:tbl>
    <w:p w:rsidR="00354100" w:rsidRPr="00953080" w:rsidP="00354100" w14:paraId="582DD7B3" w14:textId="77777777">
      <w:pPr>
        <w:pStyle w:val="NoSpacing"/>
      </w:pPr>
    </w:p>
    <w:tbl>
      <w:tblPr>
        <w:tblStyle w:val="PlainTable1"/>
        <w:tblW w:w="0" w:type="auto"/>
        <w:tblLook w:val="0420"/>
      </w:tblPr>
      <w:tblGrid>
        <w:gridCol w:w="7038"/>
        <w:gridCol w:w="2250"/>
      </w:tblGrid>
      <w:tr w14:paraId="79AB0558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RPr="00C62015" w:rsidP="001C7190" w14:paraId="71B8DCFE" w14:textId="77777777">
            <w:r w:rsidRPr="00674F34">
              <w:t>Vg3 matrosfaget (MTS03</w:t>
            </w:r>
            <w:r w:rsidRPr="00674F34">
              <w:noBreakHyphen/>
              <w:t>04)</w:t>
            </w:r>
            <w:r>
              <w:t xml:space="preserve"> </w:t>
            </w:r>
            <w:r w:rsidRPr="00674F34">
              <w:t xml:space="preserve">Kompetansemål </w:t>
            </w:r>
            <w:r>
              <w:t>for</w:t>
            </w:r>
            <w:r w:rsidRPr="00674F34">
              <w:t xml:space="preserve"> vurdering</w:t>
            </w:r>
          </w:p>
        </w:tc>
        <w:tc>
          <w:tcPr>
            <w:tcW w:w="2250" w:type="dxa"/>
          </w:tcPr>
          <w:p w:rsidR="00354100" w:rsidRPr="00C62015" w:rsidP="001C7190" w14:paraId="5C02FCD9" w14:textId="77777777">
            <w:r>
              <w:t>Min kompetanse 1-6</w:t>
            </w:r>
          </w:p>
        </w:tc>
      </w:tr>
      <w:tr w14:paraId="4FC378E3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30F8EC1E" w14:textId="77777777">
            <w:r>
              <w:t>U</w:t>
            </w:r>
            <w:r w:rsidRPr="004E7F74">
              <w:t>tføre arbeid om bord i henhold til regler for helse, miljø og sikkerhet</w:t>
            </w:r>
          </w:p>
        </w:tc>
        <w:tc>
          <w:tcPr>
            <w:tcW w:w="2250" w:type="dxa"/>
          </w:tcPr>
          <w:p w:rsidR="00354100" w:rsidP="001C7190" w14:paraId="58870B25" w14:textId="77777777"/>
        </w:tc>
      </w:tr>
      <w:tr w14:paraId="1DA898C5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19016C44" w14:textId="77777777">
            <w:r>
              <w:t>V</w:t>
            </w:r>
            <w:r w:rsidRPr="00C93241">
              <w:t>urdere og bruke personlig verne- og sikkerhetsutstyr ut fra arbeidsoppgavene</w:t>
            </w:r>
          </w:p>
        </w:tc>
        <w:tc>
          <w:tcPr>
            <w:tcW w:w="2250" w:type="dxa"/>
          </w:tcPr>
          <w:p w:rsidR="00354100" w:rsidP="001C7190" w14:paraId="66A33156" w14:textId="77777777"/>
        </w:tc>
      </w:tr>
      <w:tr w14:paraId="6814BDC0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67F97FF3" w14:textId="77777777">
            <w:r>
              <w:t>B</w:t>
            </w:r>
            <w:r w:rsidRPr="00C15600">
              <w:t>ruke produkt- og sikkerhetsdatablader og følge retningslinjer for oppbevaring og merking av kjemikalier og helseskadelige stoffer</w:t>
            </w:r>
          </w:p>
        </w:tc>
        <w:tc>
          <w:tcPr>
            <w:tcW w:w="2250" w:type="dxa"/>
          </w:tcPr>
          <w:p w:rsidR="00354100" w:rsidP="001C7190" w14:paraId="69AE8AEE" w14:textId="77777777"/>
        </w:tc>
      </w:tr>
      <w:tr w14:paraId="3645B2B9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7EC06129" w14:textId="77777777">
            <w:r>
              <w:t>G</w:t>
            </w:r>
            <w:r w:rsidRPr="00E423B0">
              <w:t>jøre rede for og arbeide etter ISM-koden og gjeldende regelverk i den daglige driften</w:t>
            </w:r>
          </w:p>
        </w:tc>
        <w:tc>
          <w:tcPr>
            <w:tcW w:w="2250" w:type="dxa"/>
          </w:tcPr>
          <w:p w:rsidR="00354100" w:rsidP="001C7190" w14:paraId="355C701C" w14:textId="77777777"/>
        </w:tc>
      </w:tr>
      <w:tr w14:paraId="61EE6684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2AE620CD" w14:textId="77777777">
            <w:r>
              <w:t>B</w:t>
            </w:r>
            <w:r w:rsidRPr="00E16425">
              <w:t>eskrive kvalitetssystemet om bord og registrere avvik</w:t>
            </w:r>
          </w:p>
        </w:tc>
        <w:tc>
          <w:tcPr>
            <w:tcW w:w="2250" w:type="dxa"/>
          </w:tcPr>
          <w:p w:rsidR="00354100" w:rsidP="001C7190" w14:paraId="598517C9" w14:textId="77777777"/>
        </w:tc>
      </w:tr>
      <w:tr w14:paraId="14E6C164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11DFB065" w14:textId="77777777">
            <w:r>
              <w:t>G</w:t>
            </w:r>
            <w:r w:rsidRPr="00D668DA">
              <w:t>jøre rede for alarmsystemer i forbindelse med varsling og utføre egen beredskapsfunksjon i en nødsituasjon om bord</w:t>
            </w:r>
          </w:p>
        </w:tc>
        <w:tc>
          <w:tcPr>
            <w:tcW w:w="2250" w:type="dxa"/>
          </w:tcPr>
          <w:p w:rsidR="00354100" w:rsidP="001C7190" w14:paraId="4D7ECF62" w14:textId="77777777"/>
        </w:tc>
      </w:tr>
      <w:tr w14:paraId="78B6DF43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7395C42F" w14:textId="77777777">
            <w:r>
              <w:t>B</w:t>
            </w:r>
            <w:r w:rsidRPr="00CB7640">
              <w:t>etjene, vedlikeholde og gjennomføre ettersyn på rednings- og brannvernutstyr og slukkeanleggene om bord</w:t>
            </w:r>
          </w:p>
        </w:tc>
        <w:tc>
          <w:tcPr>
            <w:tcW w:w="2250" w:type="dxa"/>
          </w:tcPr>
          <w:p w:rsidR="00354100" w:rsidP="001C7190" w14:paraId="53943B61" w14:textId="77777777"/>
        </w:tc>
      </w:tr>
      <w:tr w14:paraId="60D7D96B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1AA0042E" w14:textId="77777777">
            <w:r>
              <w:t>G</w:t>
            </w:r>
            <w:r w:rsidRPr="00CB7640">
              <w:t>jennomføre vakthold i henhold til skipets vaktinstruks og navigering på støttenivå</w:t>
            </w:r>
          </w:p>
        </w:tc>
        <w:tc>
          <w:tcPr>
            <w:tcW w:w="2250" w:type="dxa"/>
          </w:tcPr>
          <w:p w:rsidR="00354100" w:rsidP="001C7190" w14:paraId="07CD0F7D" w14:textId="77777777"/>
        </w:tc>
      </w:tr>
      <w:tr w14:paraId="4047961F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53BCC1C0" w14:textId="77777777">
            <w:r>
              <w:t>H</w:t>
            </w:r>
            <w:r w:rsidRPr="00ED4556">
              <w:t>åndheve adgangsprosedyrer til skipet i henhold til gjeldende regelverk</w:t>
            </w:r>
          </w:p>
        </w:tc>
        <w:tc>
          <w:tcPr>
            <w:tcW w:w="2250" w:type="dxa"/>
          </w:tcPr>
          <w:p w:rsidR="00354100" w:rsidP="001C7190" w14:paraId="0B61C177" w14:textId="77777777"/>
        </w:tc>
      </w:tr>
      <w:tr w14:paraId="7336B5F5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1556FD54" w14:textId="77777777">
            <w:r>
              <w:t>I</w:t>
            </w:r>
            <w:r w:rsidRPr="00DB4273">
              <w:t>dentifisere merking av farlig last og sikre lasten i tråd med prosedyrer og forskrifter</w:t>
            </w:r>
          </w:p>
        </w:tc>
        <w:tc>
          <w:tcPr>
            <w:tcW w:w="2250" w:type="dxa"/>
          </w:tcPr>
          <w:p w:rsidR="00354100" w:rsidP="001C7190" w14:paraId="45413FBB" w14:textId="77777777"/>
        </w:tc>
      </w:tr>
      <w:tr w14:paraId="7BA506A9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14EF6DB8" w14:textId="77777777">
            <w:r>
              <w:t>D</w:t>
            </w:r>
            <w:r w:rsidRPr="004A4EA5">
              <w:t xml:space="preserve">elta i laste- og losseoperasjoner og anvende stroppe-, </w:t>
            </w:r>
            <w:r w:rsidRPr="004A4EA5">
              <w:t>anhukings</w:t>
            </w:r>
            <w:r w:rsidRPr="004A4EA5">
              <w:t>- og lastehåndteringsutstyr</w:t>
            </w:r>
          </w:p>
        </w:tc>
        <w:tc>
          <w:tcPr>
            <w:tcW w:w="2250" w:type="dxa"/>
          </w:tcPr>
          <w:p w:rsidR="00354100" w:rsidP="001C7190" w14:paraId="4050ED1B" w14:textId="77777777"/>
        </w:tc>
      </w:tr>
      <w:tr w14:paraId="33124A69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04FD8A25" w14:textId="77777777">
            <w:r>
              <w:t>V</w:t>
            </w:r>
            <w:r w:rsidRPr="00CF4532">
              <w:t>urdere faktorer som påvirker et fartøys stabilite</w:t>
            </w:r>
            <w:r>
              <w:t>t</w:t>
            </w:r>
          </w:p>
        </w:tc>
        <w:tc>
          <w:tcPr>
            <w:tcW w:w="2250" w:type="dxa"/>
          </w:tcPr>
          <w:p w:rsidR="00354100" w:rsidP="001C7190" w14:paraId="0DA94D97" w14:textId="77777777"/>
        </w:tc>
      </w:tr>
      <w:tr w14:paraId="5A61EE5A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5FBD6C98" w14:textId="77777777">
            <w:r>
              <w:t>V</w:t>
            </w:r>
            <w:r w:rsidRPr="00D876C6">
              <w:t>elge og bruke ergonomisk riktige arbeidsteknikker og arbeidsstillinger</w:t>
            </w:r>
          </w:p>
        </w:tc>
        <w:tc>
          <w:tcPr>
            <w:tcW w:w="2250" w:type="dxa"/>
          </w:tcPr>
          <w:p w:rsidR="00354100" w:rsidP="001C7190" w14:paraId="00FBE3E1" w14:textId="77777777"/>
        </w:tc>
      </w:tr>
      <w:tr w14:paraId="32292BBD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7A01D4B3" w14:textId="77777777">
            <w:r>
              <w:t>B</w:t>
            </w:r>
            <w:r w:rsidRPr="00D876C6">
              <w:t>ruke vedlikeholdssystem til å hente ut arbeidsordrer og dokumentere utført arbeid og vurdere eget arbeid</w:t>
            </w:r>
          </w:p>
        </w:tc>
        <w:tc>
          <w:tcPr>
            <w:tcW w:w="2250" w:type="dxa"/>
          </w:tcPr>
          <w:p w:rsidR="00354100" w:rsidP="001C7190" w14:paraId="3349D2CF" w14:textId="77777777"/>
        </w:tc>
      </w:tr>
      <w:tr w14:paraId="3B04202C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707FB1A5" w14:textId="77777777">
            <w:r>
              <w:t>V</w:t>
            </w:r>
            <w:r w:rsidRPr="00E63777">
              <w:t>elge og bruke metoder og teknikker for renhold og overflatebehandling av ulike materialer og steder for å ivareta arbeids- og maritimt miljø</w:t>
            </w:r>
          </w:p>
        </w:tc>
        <w:tc>
          <w:tcPr>
            <w:tcW w:w="2250" w:type="dxa"/>
          </w:tcPr>
          <w:p w:rsidR="00354100" w:rsidP="001C7190" w14:paraId="6DCF0BC9" w14:textId="77777777"/>
        </w:tc>
      </w:tr>
      <w:tr w14:paraId="0DDFE9E1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2852FF18" w14:textId="77777777">
            <w:r>
              <w:t>B</w:t>
            </w:r>
            <w:r w:rsidRPr="0032316B">
              <w:t xml:space="preserve">ruke og vedlikeholde utstyr knyttet til </w:t>
            </w:r>
            <w:r w:rsidRPr="0032316B">
              <w:t>fortøying</w:t>
            </w:r>
            <w:r w:rsidRPr="0032316B">
              <w:t>, ankring, lasting og lossing og annen dekksutrustning</w:t>
            </w:r>
          </w:p>
        </w:tc>
        <w:tc>
          <w:tcPr>
            <w:tcW w:w="2250" w:type="dxa"/>
          </w:tcPr>
          <w:p w:rsidR="00354100" w:rsidP="001C7190" w14:paraId="1310FDA9" w14:textId="77777777"/>
        </w:tc>
      </w:tr>
      <w:tr w14:paraId="2FE712BC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621C1A07" w14:textId="77777777">
            <w:r>
              <w:t>R</w:t>
            </w:r>
            <w:r w:rsidRPr="004272AF">
              <w:t>igge opp og ned landgang og losleider med tilhørende utstyr</w:t>
            </w:r>
          </w:p>
        </w:tc>
        <w:tc>
          <w:tcPr>
            <w:tcW w:w="2250" w:type="dxa"/>
          </w:tcPr>
          <w:p w:rsidR="00354100" w:rsidP="001C7190" w14:paraId="6B1F6EB5" w14:textId="77777777"/>
        </w:tc>
      </w:tr>
      <w:tr w14:paraId="55F598AA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4EC68F3C" w14:textId="77777777">
            <w:r>
              <w:t>A</w:t>
            </w:r>
            <w:r w:rsidRPr="00182173">
              <w:t>nvende tauverk og trosser ut fra deres bruksområder</w:t>
            </w:r>
          </w:p>
        </w:tc>
        <w:tc>
          <w:tcPr>
            <w:tcW w:w="2250" w:type="dxa"/>
          </w:tcPr>
          <w:p w:rsidR="00354100" w:rsidP="001C7190" w14:paraId="3271E1F1" w14:textId="77777777"/>
        </w:tc>
      </w:tr>
      <w:tr w14:paraId="1307F688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49EEA1DA" w14:textId="77777777">
            <w:r>
              <w:t>F</w:t>
            </w:r>
            <w:r w:rsidRPr="00182173">
              <w:t>orstå og følge flaggregler og bruke og lese signalflagg</w:t>
            </w:r>
          </w:p>
        </w:tc>
        <w:tc>
          <w:tcPr>
            <w:tcW w:w="2250" w:type="dxa"/>
          </w:tcPr>
          <w:p w:rsidR="00354100" w:rsidP="001C7190" w14:paraId="62C3F7D8" w14:textId="77777777"/>
        </w:tc>
      </w:tr>
      <w:tr w14:paraId="37592CDD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338989D0" w14:textId="77777777">
            <w:r>
              <w:t>G</w:t>
            </w:r>
            <w:r w:rsidRPr="00A362E7">
              <w:t>jøre fartøyet sjøklart</w:t>
            </w:r>
          </w:p>
        </w:tc>
        <w:tc>
          <w:tcPr>
            <w:tcW w:w="2250" w:type="dxa"/>
          </w:tcPr>
          <w:p w:rsidR="00354100" w:rsidP="001C7190" w14:paraId="3E78B233" w14:textId="77777777"/>
        </w:tc>
      </w:tr>
      <w:tr w14:paraId="05D141AE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731AE80F" w14:textId="77777777">
            <w:r>
              <w:t>B</w:t>
            </w:r>
            <w:r w:rsidRPr="00580B36">
              <w:t>ruke og vedlikeholde elektriske og mekaniske verktøy og instrumenter</w:t>
            </w:r>
          </w:p>
        </w:tc>
        <w:tc>
          <w:tcPr>
            <w:tcW w:w="2250" w:type="dxa"/>
          </w:tcPr>
          <w:p w:rsidR="00354100" w:rsidP="001C7190" w14:paraId="6A45761E" w14:textId="77777777"/>
        </w:tc>
      </w:tr>
      <w:tr w14:paraId="4153B2E5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47D16F73" w14:textId="77777777">
            <w:r>
              <w:t>G</w:t>
            </w:r>
            <w:r w:rsidRPr="00607490">
              <w:t>jennomføre bunkring etter skipets prosedyrer</w:t>
            </w:r>
          </w:p>
        </w:tc>
        <w:tc>
          <w:tcPr>
            <w:tcW w:w="2250" w:type="dxa"/>
          </w:tcPr>
          <w:p w:rsidR="00354100" w:rsidP="001C7190" w14:paraId="48AD744E" w14:textId="77777777"/>
        </w:tc>
      </w:tr>
      <w:tr w14:paraId="77C18740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4302DDDF" w14:textId="77777777">
            <w:r>
              <w:t>R</w:t>
            </w:r>
            <w:r w:rsidRPr="00607490">
              <w:t>eflektere over hvordan man kan forebygge og begrense forurensning av det marine miljøet og håndtere avfall i tråd med gjeldende regelverk og krav</w:t>
            </w:r>
          </w:p>
        </w:tc>
        <w:tc>
          <w:tcPr>
            <w:tcW w:w="2250" w:type="dxa"/>
          </w:tcPr>
          <w:p w:rsidR="00354100" w:rsidP="001C7190" w14:paraId="60069651" w14:textId="77777777"/>
        </w:tc>
      </w:tr>
      <w:tr w14:paraId="2E05A41D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566E9CAF" w14:textId="77777777">
            <w:r>
              <w:t>R</w:t>
            </w:r>
            <w:r w:rsidRPr="009A2B23">
              <w:t>eflektere over hvordan en selv kan bidra til et godt psykososialt arbeidsmiljø</w:t>
            </w:r>
          </w:p>
        </w:tc>
        <w:tc>
          <w:tcPr>
            <w:tcW w:w="2250" w:type="dxa"/>
          </w:tcPr>
          <w:p w:rsidR="00354100" w:rsidP="001C7190" w14:paraId="6C7DB7EB" w14:textId="77777777"/>
        </w:tc>
      </w:tr>
      <w:tr w14:paraId="22F9ED1F" w14:textId="77777777" w:rsidTr="001C7190">
        <w:tblPrEx>
          <w:tblW w:w="0" w:type="auto"/>
          <w:tblLook w:val="0420"/>
        </w:tblPrEx>
        <w:tc>
          <w:tcPr>
            <w:tcW w:w="7038" w:type="dxa"/>
          </w:tcPr>
          <w:p w:rsidR="00354100" w:rsidP="001C7190" w14:paraId="2975BC30" w14:textId="77777777">
            <w:r>
              <w:t>G</w:t>
            </w:r>
            <w:r w:rsidRPr="00A47C6E">
              <w:t>jøre rede for partssamarbeidet i rederiet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2250" w:type="dxa"/>
          </w:tcPr>
          <w:p w:rsidR="00354100" w:rsidP="001C7190" w14:paraId="24C13423" w14:textId="77777777"/>
        </w:tc>
      </w:tr>
    </w:tbl>
    <w:p w:rsidR="005E1AAE" w:rsidRPr="00354100" w:rsidP="00354100" w14:paraId="315A5E16" w14:textId="63B6775F"/>
    <w:sectPr w:rsidSect="0087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BE701FE"/>
    <w:multiLevelType w:val="multilevel"/>
    <w:tmpl w:val="1990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D26A0"/>
    <w:multiLevelType w:val="multilevel"/>
    <w:tmpl w:val="15BE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444524">
    <w:abstractNumId w:val="0"/>
  </w:num>
  <w:num w:numId="2" w16cid:durableId="711418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D76DE9"/>
    <w:rsid w:val="0002049A"/>
    <w:rsid w:val="00065DDA"/>
    <w:rsid w:val="00182173"/>
    <w:rsid w:val="001C7190"/>
    <w:rsid w:val="001F339D"/>
    <w:rsid w:val="002401B6"/>
    <w:rsid w:val="00273705"/>
    <w:rsid w:val="00274EA2"/>
    <w:rsid w:val="002C36E4"/>
    <w:rsid w:val="002E37F6"/>
    <w:rsid w:val="003120BC"/>
    <w:rsid w:val="0032316B"/>
    <w:rsid w:val="003341A6"/>
    <w:rsid w:val="00354100"/>
    <w:rsid w:val="003B14AB"/>
    <w:rsid w:val="004272AF"/>
    <w:rsid w:val="004A4EA5"/>
    <w:rsid w:val="004E7F74"/>
    <w:rsid w:val="005263BD"/>
    <w:rsid w:val="00580B36"/>
    <w:rsid w:val="005E1AAE"/>
    <w:rsid w:val="005E6D5E"/>
    <w:rsid w:val="00607490"/>
    <w:rsid w:val="006517F9"/>
    <w:rsid w:val="00674F34"/>
    <w:rsid w:val="006A4979"/>
    <w:rsid w:val="006B5E4D"/>
    <w:rsid w:val="006B7ED2"/>
    <w:rsid w:val="0077093C"/>
    <w:rsid w:val="00834171"/>
    <w:rsid w:val="00843D6C"/>
    <w:rsid w:val="00871644"/>
    <w:rsid w:val="008A065E"/>
    <w:rsid w:val="008C1F87"/>
    <w:rsid w:val="00953080"/>
    <w:rsid w:val="009A2B23"/>
    <w:rsid w:val="00A362E7"/>
    <w:rsid w:val="00A47C6E"/>
    <w:rsid w:val="00A47F53"/>
    <w:rsid w:val="00A67F53"/>
    <w:rsid w:val="00B10D93"/>
    <w:rsid w:val="00B1647E"/>
    <w:rsid w:val="00BD1F14"/>
    <w:rsid w:val="00BE024A"/>
    <w:rsid w:val="00BE7736"/>
    <w:rsid w:val="00C15600"/>
    <w:rsid w:val="00C50093"/>
    <w:rsid w:val="00C62015"/>
    <w:rsid w:val="00C93241"/>
    <w:rsid w:val="00CB7640"/>
    <w:rsid w:val="00CF4532"/>
    <w:rsid w:val="00D668DA"/>
    <w:rsid w:val="00D76DE9"/>
    <w:rsid w:val="00D876C6"/>
    <w:rsid w:val="00DB4273"/>
    <w:rsid w:val="00E16425"/>
    <w:rsid w:val="00E215F4"/>
    <w:rsid w:val="00E423B0"/>
    <w:rsid w:val="00E63777"/>
    <w:rsid w:val="00E67090"/>
    <w:rsid w:val="00ED4556"/>
    <w:rsid w:val="00F30EDF"/>
    <w:rsid w:val="00F43D97"/>
    <w:rsid w:val="00FF7CF8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8770BC"/>
  <w15:chartTrackingRefBased/>
  <w15:docId w15:val="{4035DAB1-F4EB-4DA5-BD61-6890BC41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100"/>
  </w:style>
  <w:style w:type="paragraph" w:styleId="Heading1">
    <w:name w:val="heading 1"/>
    <w:basedOn w:val="Normal"/>
    <w:next w:val="Normal"/>
    <w:link w:val="Overskrift1Tegn"/>
    <w:uiPriority w:val="9"/>
    <w:qFormat/>
    <w:rsid w:val="00D76D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Overskrift2Tegn"/>
    <w:uiPriority w:val="9"/>
    <w:semiHidden/>
    <w:unhideWhenUsed/>
    <w:qFormat/>
    <w:rsid w:val="00D7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Overskrift3Tegn"/>
    <w:uiPriority w:val="9"/>
    <w:semiHidden/>
    <w:unhideWhenUsed/>
    <w:qFormat/>
    <w:rsid w:val="00D76D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Overskrift4Tegn"/>
    <w:uiPriority w:val="9"/>
    <w:semiHidden/>
    <w:unhideWhenUsed/>
    <w:qFormat/>
    <w:rsid w:val="00D76D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D76D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Overskrift6Tegn"/>
    <w:uiPriority w:val="9"/>
    <w:semiHidden/>
    <w:unhideWhenUsed/>
    <w:qFormat/>
    <w:rsid w:val="00D76D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D76D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D76D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D76D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verskrift1Tegn">
    <w:name w:val="Overskrift 1 Tegn"/>
    <w:basedOn w:val="DefaultParagraphFont"/>
    <w:link w:val="Heading1"/>
    <w:uiPriority w:val="9"/>
    <w:rsid w:val="00D76D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DefaultParagraphFont"/>
    <w:link w:val="Heading2"/>
    <w:uiPriority w:val="9"/>
    <w:semiHidden/>
    <w:rsid w:val="00D76D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DefaultParagraphFont"/>
    <w:link w:val="Heading3"/>
    <w:uiPriority w:val="9"/>
    <w:semiHidden/>
    <w:rsid w:val="00D76D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DefaultParagraphFont"/>
    <w:link w:val="Heading4"/>
    <w:uiPriority w:val="9"/>
    <w:semiHidden/>
    <w:rsid w:val="00D76DE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D76DE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DefaultParagraphFont"/>
    <w:link w:val="Heading6"/>
    <w:uiPriority w:val="9"/>
    <w:semiHidden/>
    <w:rsid w:val="00D76DE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D76DE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D76DE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D76D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telTegn"/>
    <w:uiPriority w:val="10"/>
    <w:qFormat/>
    <w:rsid w:val="00D76D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D7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D76D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DefaultParagraphFont"/>
    <w:link w:val="Subtitle"/>
    <w:uiPriority w:val="11"/>
    <w:rsid w:val="00D76D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SitatTegn"/>
    <w:uiPriority w:val="29"/>
    <w:qFormat/>
    <w:rsid w:val="00D7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DefaultParagraphFont"/>
    <w:link w:val="Quote"/>
    <w:uiPriority w:val="29"/>
    <w:rsid w:val="00D76D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6D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6D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SterktsitatTegn"/>
    <w:uiPriority w:val="30"/>
    <w:qFormat/>
    <w:rsid w:val="00D76D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DefaultParagraphFont"/>
    <w:link w:val="IntenseQuote"/>
    <w:uiPriority w:val="30"/>
    <w:rsid w:val="00D76D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6D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670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8C1F87"/>
    <w:pPr>
      <w:spacing w:after="0" w:line="240" w:lineRule="auto"/>
    </w:pPr>
  </w:style>
  <w:style w:type="paragraph" w:styleId="Header">
    <w:name w:val="header"/>
    <w:basedOn w:val="Normal"/>
    <w:link w:val="TopptekstTegn"/>
    <w:uiPriority w:val="99"/>
    <w:unhideWhenUsed/>
    <w:rsid w:val="0033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3341A6"/>
  </w:style>
  <w:style w:type="paragraph" w:styleId="Footer">
    <w:name w:val="footer"/>
    <w:basedOn w:val="Normal"/>
    <w:link w:val="BunntekstTegn"/>
    <w:uiPriority w:val="99"/>
    <w:unhideWhenUsed/>
    <w:rsid w:val="00334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33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518</Words>
  <Characters>2747</Characters>
  <Application>Microsoft Office Word</Application>
  <DocSecurity>0</DocSecurity>
  <Lines>22</Lines>
  <Paragraphs>6</Paragraphs>
  <ScaleCrop>false</ScaleCrop>
  <Company>Troms og Finnmark fylkeskommune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Egenevaluering Matros</dc:title>
  <dc:creator>Marius Løvdal</dc:creator>
  <cp:lastModifiedBy>Marius Løvdal</cp:lastModifiedBy>
  <cp:revision>22</cp:revision>
  <dcterms:created xsi:type="dcterms:W3CDTF">2025-03-21T12:18:00Z</dcterms:created>
  <dcterms:modified xsi:type="dcterms:W3CDTF">2025-03-26T09:47:00Z</dcterms:modified>
</cp:coreProperties>
</file>