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043170" w:rsidRPr="00043170" w:rsidP="00043170" w14:paraId="30A6E847" w14:textId="77777777">
      <w:pPr>
        <w:rPr>
          <w:rFonts w:ascii="Arial" w:hAnsi="Arial" w:cs="Arial"/>
          <w:szCs w:val="24"/>
        </w:rPr>
      </w:pPr>
      <w:r w:rsidRPr="00043170">
        <w:rPr>
          <w:rFonts w:ascii="Arial" w:hAnsi="Arial" w:cs="Arial"/>
          <w:b/>
          <w:szCs w:val="24"/>
        </w:rPr>
        <w:t>Formål</w:t>
      </w:r>
    </w:p>
    <w:p w:rsidR="00043170" w:rsidRPr="00043170" w:rsidP="00043170" w14:paraId="0E29C197" w14:textId="77777777">
      <w:pPr>
        <w:rPr>
          <w:rFonts w:ascii="Arial" w:hAnsi="Arial" w:cs="Arial"/>
          <w:sz w:val="20"/>
          <w:szCs w:val="24"/>
        </w:rPr>
      </w:pPr>
      <w:r w:rsidRPr="00043170">
        <w:rPr>
          <w:rFonts w:ascii="Arial" w:hAnsi="Arial" w:cs="Arial"/>
          <w:sz w:val="20"/>
          <w:szCs w:val="24"/>
        </w:rPr>
        <w:t xml:space="preserve">Denne prosedyren skal sikre at arkivverdige dokumenter blir arkivert på en sikker og oversiktlig måte i et godkjent NOARK-basert arkivsystem, i henhold til arkivplanen og etter de til enhver tid gjeldende lover, regler og prosedyrer. </w:t>
      </w:r>
    </w:p>
    <w:p w:rsidR="00043170" w:rsidRPr="00043170" w:rsidP="00043170" w14:paraId="72F47081" w14:textId="77777777">
      <w:pPr>
        <w:rPr>
          <w:rFonts w:ascii="Arial" w:hAnsi="Arial" w:cs="Arial"/>
          <w:sz w:val="20"/>
          <w:szCs w:val="24"/>
        </w:rPr>
      </w:pPr>
    </w:p>
    <w:p w:rsidR="00043170" w:rsidRPr="00043170" w:rsidP="00043170" w14:paraId="268CFCFA" w14:textId="77777777">
      <w:pPr>
        <w:rPr>
          <w:rFonts w:ascii="Arial" w:hAnsi="Arial" w:cs="Arial"/>
          <w:sz w:val="20"/>
          <w:szCs w:val="24"/>
        </w:rPr>
      </w:pPr>
      <w:r w:rsidRPr="00043170">
        <w:rPr>
          <w:rFonts w:ascii="Arial" w:hAnsi="Arial" w:cs="Arial"/>
          <w:sz w:val="20"/>
          <w:szCs w:val="24"/>
        </w:rPr>
        <w:t xml:space="preserve">Alle offentlige organ plikter å ha arkiv, og disse skal være ordnet og innrettet slik at dokumentene er sikret som informasjonskilde for samtid og ettertid, Jf. Lov om arkiv § 6.  Offentlig organ er også pliktet til å forholde seg til Lov om rett til innsyn i dokument i </w:t>
      </w:r>
      <w:r w:rsidRPr="00043170">
        <w:rPr>
          <w:rFonts w:ascii="Arial" w:hAnsi="Arial" w:cs="Arial"/>
          <w:sz w:val="20"/>
          <w:szCs w:val="24"/>
        </w:rPr>
        <w:t>offentleg</w:t>
      </w:r>
      <w:r w:rsidRPr="00043170">
        <w:rPr>
          <w:rFonts w:ascii="Arial" w:hAnsi="Arial" w:cs="Arial"/>
          <w:sz w:val="20"/>
          <w:szCs w:val="24"/>
        </w:rPr>
        <w:t xml:space="preserve"> </w:t>
      </w:r>
      <w:r w:rsidRPr="00043170">
        <w:rPr>
          <w:rFonts w:ascii="Arial" w:hAnsi="Arial" w:cs="Arial"/>
          <w:sz w:val="20"/>
          <w:szCs w:val="24"/>
        </w:rPr>
        <w:t>verksemd</w:t>
      </w:r>
      <w:r w:rsidRPr="00043170">
        <w:rPr>
          <w:rFonts w:ascii="Arial" w:hAnsi="Arial" w:cs="Arial"/>
          <w:sz w:val="20"/>
          <w:szCs w:val="24"/>
        </w:rPr>
        <w:t xml:space="preserve"> (</w:t>
      </w:r>
      <w:r w:rsidRPr="00043170">
        <w:rPr>
          <w:rFonts w:ascii="Arial" w:hAnsi="Arial" w:cs="Arial"/>
          <w:sz w:val="20"/>
          <w:szCs w:val="24"/>
        </w:rPr>
        <w:t>offentleglova</w:t>
      </w:r>
      <w:r w:rsidRPr="00043170">
        <w:rPr>
          <w:rFonts w:ascii="Arial" w:hAnsi="Arial" w:cs="Arial"/>
          <w:sz w:val="20"/>
          <w:szCs w:val="24"/>
        </w:rPr>
        <w:t>), jf. § 1 og Lov om behandlingsmåten i forvaltningssaker (forvaltningsloven) jf. § 1.</w:t>
      </w:r>
    </w:p>
    <w:p w:rsidR="00043170" w:rsidRPr="00043170" w:rsidP="00043170" w14:paraId="09D1BCE5" w14:textId="77777777">
      <w:pPr>
        <w:rPr>
          <w:rFonts w:ascii="Arial" w:hAnsi="Arial" w:cs="Arial"/>
          <w:sz w:val="20"/>
          <w:szCs w:val="24"/>
        </w:rPr>
      </w:pPr>
    </w:p>
    <w:p w:rsidR="00043170" w:rsidRPr="00043170" w:rsidP="00043170" w14:paraId="4E4847E6" w14:textId="77777777">
      <w:pPr>
        <w:rPr>
          <w:rFonts w:ascii="Arial" w:hAnsi="Arial" w:cs="Arial"/>
          <w:szCs w:val="24"/>
        </w:rPr>
      </w:pPr>
      <w:r w:rsidRPr="00043170">
        <w:rPr>
          <w:rFonts w:ascii="Arial" w:hAnsi="Arial" w:cs="Arial"/>
          <w:b/>
          <w:szCs w:val="24"/>
        </w:rPr>
        <w:t>Ansvar</w:t>
      </w:r>
    </w:p>
    <w:p w:rsidR="00043170" w:rsidRPr="00043170" w:rsidP="00043170" w14:paraId="45FB30ED" w14:textId="77777777">
      <w:pPr>
        <w:rPr>
          <w:rFonts w:ascii="Arial" w:hAnsi="Arial" w:cs="Arial"/>
          <w:sz w:val="20"/>
          <w:szCs w:val="24"/>
        </w:rPr>
      </w:pPr>
      <w:r w:rsidRPr="00043170">
        <w:rPr>
          <w:rFonts w:ascii="Arial" w:hAnsi="Arial" w:cs="Arial"/>
          <w:sz w:val="20"/>
          <w:szCs w:val="24"/>
        </w:rPr>
        <w:t>Rektor</w:t>
      </w:r>
    </w:p>
    <w:p w:rsidR="00043170" w:rsidRPr="00043170" w:rsidP="00043170" w14:paraId="5090BCED" w14:textId="77777777">
      <w:pPr>
        <w:rPr>
          <w:rFonts w:ascii="Arial" w:hAnsi="Arial" w:cs="Arial"/>
          <w:sz w:val="20"/>
          <w:szCs w:val="24"/>
        </w:rPr>
      </w:pPr>
      <w:r w:rsidRPr="00043170">
        <w:rPr>
          <w:rFonts w:ascii="Arial" w:hAnsi="Arial" w:cs="Arial"/>
          <w:sz w:val="20"/>
          <w:szCs w:val="24"/>
        </w:rPr>
        <w:t>Brukere av arkivtjenesten</w:t>
      </w:r>
    </w:p>
    <w:p w:rsidR="00043170" w:rsidRPr="00043170" w:rsidP="00043170" w14:paraId="5BACBF37" w14:textId="77777777">
      <w:pPr>
        <w:rPr>
          <w:rFonts w:ascii="Arial" w:hAnsi="Arial" w:cs="Arial"/>
          <w:sz w:val="20"/>
          <w:szCs w:val="24"/>
        </w:rPr>
      </w:pPr>
    </w:p>
    <w:p w:rsidR="00043170" w:rsidRPr="00043170" w:rsidP="00043170" w14:paraId="0D308922" w14:textId="77777777">
      <w:pPr>
        <w:rPr>
          <w:rFonts w:ascii="Arial" w:hAnsi="Arial" w:cs="Arial"/>
          <w:b/>
          <w:bCs/>
          <w:szCs w:val="24"/>
        </w:rPr>
      </w:pPr>
      <w:r w:rsidRPr="00043170">
        <w:rPr>
          <w:rFonts w:ascii="Arial" w:hAnsi="Arial" w:cs="Arial"/>
          <w:b/>
          <w:bCs/>
          <w:szCs w:val="24"/>
        </w:rPr>
        <w:t>Målgruppe</w:t>
      </w:r>
    </w:p>
    <w:p w:rsidR="00043170" w:rsidRPr="00043170" w:rsidP="00043170" w14:paraId="1A09A343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Prosedyren gjelder for alle ansatte som mottar, utarbeider og distribuerer arkivverdig dokumentasjon</w:t>
      </w:r>
    </w:p>
    <w:p w:rsidR="00043170" w:rsidRPr="00043170" w:rsidP="00043170" w14:paraId="7EC906DF" w14:textId="77777777">
      <w:pPr>
        <w:rPr>
          <w:rFonts w:ascii="Arial" w:hAnsi="Arial"/>
          <w:sz w:val="20"/>
        </w:rPr>
      </w:pPr>
    </w:p>
    <w:p w:rsidR="00043170" w:rsidRPr="00043170" w:rsidP="00043170" w14:paraId="0119886F" w14:textId="77777777">
      <w:pPr>
        <w:rPr>
          <w:rFonts w:ascii="Arial" w:hAnsi="Arial"/>
          <w:b/>
          <w:bCs/>
          <w:szCs w:val="24"/>
        </w:rPr>
      </w:pPr>
      <w:r w:rsidRPr="00043170">
        <w:rPr>
          <w:rFonts w:ascii="Arial" w:hAnsi="Arial"/>
          <w:b/>
          <w:bCs/>
          <w:szCs w:val="24"/>
        </w:rPr>
        <w:t>Beskrivelse</w:t>
      </w:r>
    </w:p>
    <w:p w:rsidR="00043170" w:rsidRPr="00043170" w:rsidP="00043170" w14:paraId="4B93C1B2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 xml:space="preserve">Fagskolen bruker samme sak- og arkivsystem som Finnmark fylkeskommune. All saksbehandling skal foregå i programmer som er avsatt til formålet. I praksis, Public 360 eller fagsystem som er </w:t>
      </w:r>
      <w:r w:rsidRPr="00043170">
        <w:rPr>
          <w:rFonts w:ascii="Arial" w:hAnsi="Arial"/>
          <w:sz w:val="20"/>
        </w:rPr>
        <w:t>integrert</w:t>
      </w:r>
      <w:r w:rsidRPr="00043170">
        <w:rPr>
          <w:rFonts w:ascii="Arial" w:hAnsi="Arial"/>
          <w:sz w:val="20"/>
        </w:rPr>
        <w:t xml:space="preserve"> med Public 360 slik at saksbehandlingen og dokumentene blir bevart. Det gjelder både interne dokumenter, og dokumenter som kommer inn til eller blir sendt ut fra virksomheten.</w:t>
      </w:r>
    </w:p>
    <w:p w:rsidR="00043170" w:rsidRPr="00043170" w:rsidP="00043170" w14:paraId="7E7AAC6B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4335799C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b/>
          <w:bCs/>
          <w:sz w:val="20"/>
        </w:rPr>
        <w:t>Hva skal arkiveres?</w:t>
      </w:r>
    </w:p>
    <w:p w:rsidR="00043170" w:rsidRPr="00043170" w:rsidP="00043170" w14:paraId="75872F82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Som offentlig organ, har fagskolen plikt til å arkivere alle dokumenter som produseres som ledd i fagskolens virksomhet, dersom de har verdi som dokumentasjon eller er gjenstand for saksbehandling. Arkiveringsplikten gjelder uavhengig av om dokumentene er utvekslet med eksterne eller er utarbeidet for intern bruk.</w:t>
      </w:r>
    </w:p>
    <w:p w:rsidR="00043170" w:rsidRPr="00043170" w:rsidP="00043170" w14:paraId="5E368643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6CC991E0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Dokumenter produsert av egen virksomhet, dokumenter av prinsipiell karakter, dokumenter som medfører saksbehandling, eller dokumenter som er viktige å ta vare på for fremtiden, skal alltid journalføres og arkiveres i arkivsystemet. Formålet er å ta vare på data, dokumenter og beslutninger slik at: </w:t>
      </w:r>
    </w:p>
    <w:p w:rsidR="00043170" w:rsidRPr="00043170" w:rsidP="00043170" w14:paraId="0BEE40E7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Vi kan finne igjen, dele og gjenbruke tidligere arbeid</w:t>
      </w:r>
    </w:p>
    <w:p w:rsidR="00043170" w:rsidRPr="00043170" w:rsidP="00043170" w14:paraId="4E3CA194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Vi kan dokumentere hva som har skjedd</w:t>
      </w:r>
    </w:p>
    <w:p w:rsidR="00043170" w:rsidRPr="00043170" w:rsidP="00043170" w14:paraId="070F856F" w14:textId="77777777">
      <w:pPr>
        <w:numPr>
          <w:ilvl w:val="0"/>
          <w:numId w:val="1"/>
        </w:num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Ettertiden kan dra nytte av våre erfaringer.</w:t>
      </w:r>
    </w:p>
    <w:p w:rsidR="00043170" w:rsidRPr="00043170" w:rsidP="00043170" w14:paraId="797E9E8E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0995A660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All dokumentasjon vurderes ut fra dets innhold, og arkiveres deretter i henhold til fylkeskommunens</w:t>
      </w:r>
    </w:p>
    <w:p w:rsidR="00043170" w:rsidRPr="00043170" w:rsidP="00043170" w14:paraId="4D1C5CDC" w14:textId="77777777">
      <w:pPr>
        <w:numPr>
          <w:ilvl w:val="0"/>
          <w:numId w:val="2"/>
        </w:numPr>
        <w:rPr>
          <w:rFonts w:ascii="Arial" w:hAnsi="Arial"/>
          <w:sz w:val="20"/>
        </w:rPr>
      </w:pPr>
      <w:hyperlink r:id="rId4" w:history="1">
        <w:r w:rsidRPr="00043170">
          <w:rPr>
            <w:rFonts w:ascii="Arial" w:hAnsi="Arial"/>
            <w:color w:val="0000FF"/>
            <w:sz w:val="20"/>
            <w:u w:val="single"/>
          </w:rPr>
          <w:t>Håndbok for arkivering og saksbehandling</w:t>
        </w:r>
      </w:hyperlink>
    </w:p>
    <w:p w:rsidR="00043170" w:rsidRPr="00043170" w:rsidP="00043170" w14:paraId="54232F4D" w14:textId="77777777">
      <w:pPr>
        <w:numPr>
          <w:ilvl w:val="0"/>
          <w:numId w:val="2"/>
        </w:numPr>
        <w:rPr>
          <w:rFonts w:ascii="Arial" w:hAnsi="Arial"/>
          <w:sz w:val="20"/>
        </w:rPr>
      </w:pPr>
      <w:hyperlink r:id="rId5" w:history="1">
        <w:r w:rsidRPr="00043170">
          <w:rPr>
            <w:rFonts w:ascii="Arial" w:hAnsi="Arial"/>
            <w:color w:val="0000FF"/>
            <w:sz w:val="20"/>
            <w:u w:val="single"/>
          </w:rPr>
          <w:t>Retningslinjer for digital lagring i FFK</w:t>
        </w:r>
      </w:hyperlink>
    </w:p>
    <w:p w:rsidR="00043170" w:rsidRPr="00043170" w:rsidP="00043170" w14:paraId="64DA6C78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2A802D15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b/>
          <w:bCs/>
          <w:sz w:val="20"/>
        </w:rPr>
        <w:t>Informasjon som er taushetsbelagt/unntatt offentlighet</w:t>
      </w:r>
    </w:p>
    <w:p w:rsidR="00043170" w:rsidRPr="00043170" w:rsidP="00043170" w14:paraId="124E5147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Offentlighetsloven skal sikre at alle kan få innsyn i saksdokumenter i offentlig forvaltning. I utgangspunktet er alle saksdokumenter i forvaltningen offentlige. Loven inneholder en del </w:t>
      </w:r>
      <w:r w:rsidRPr="00043170">
        <w:rPr>
          <w:rFonts w:ascii="Arial" w:hAnsi="Arial"/>
          <w:i/>
          <w:iCs/>
          <w:sz w:val="20"/>
        </w:rPr>
        <w:t>unntaksregler</w:t>
      </w:r>
      <w:r w:rsidRPr="00043170">
        <w:rPr>
          <w:rFonts w:ascii="Arial" w:hAnsi="Arial"/>
          <w:sz w:val="20"/>
        </w:rPr>
        <w:t>, og når et dokument ikke skal gjøres tilgjengelig for alle, merkes det med «Unntatt offentlighet», og en henvisning til den relevante paragrafen.</w:t>
      </w:r>
    </w:p>
    <w:p w:rsidR="00043170" w:rsidRPr="00043170" w:rsidP="00043170" w14:paraId="6190D1AE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0BC8E598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Dokumenter med sensitive personopplysninger arkiveres i sikret sone (rød) i sak- og arkivsystemet Public 360, eller i fagsystemer som er tilrettelagt for dette og som enten har innebygd arkivering eller automatisk arkivering til 360.</w:t>
      </w:r>
    </w:p>
    <w:p w:rsidR="00043170" w:rsidRPr="00043170" w:rsidP="00043170" w14:paraId="351CA27B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26920D3F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 xml:space="preserve">Ved behov for hjelp til å vurdere om et dokument har personsensitivt innhold eller ei, eller hvor det bør arkiveres, se </w:t>
      </w:r>
      <w:hyperlink r:id="rId6" w:history="1">
        <w:r w:rsidRPr="00043170">
          <w:rPr>
            <w:rFonts w:ascii="Arial" w:hAnsi="Arial"/>
            <w:color w:val="0000FF"/>
            <w:sz w:val="20"/>
            <w:u w:val="single"/>
          </w:rPr>
          <w:t>brukerstøtte for dokumentforvaltning</w:t>
        </w:r>
      </w:hyperlink>
      <w:r w:rsidRPr="00043170">
        <w:rPr>
          <w:rFonts w:ascii="Arial" w:hAnsi="Arial"/>
          <w:sz w:val="20"/>
        </w:rPr>
        <w:t xml:space="preserve"> på hjemmenett, ta kontakt med din nærmeste leder eller FFK arkivhjelp </w:t>
      </w:r>
      <w:hyperlink r:id="rId7" w:history="1">
        <w:r w:rsidRPr="00043170">
          <w:rPr>
            <w:rFonts w:ascii="Arial" w:hAnsi="Arial"/>
            <w:color w:val="0000FF"/>
            <w:sz w:val="20"/>
            <w:u w:val="single"/>
          </w:rPr>
          <w:t>arkivhjelp@ffk.no</w:t>
        </w:r>
      </w:hyperlink>
      <w:r w:rsidRPr="00043170">
        <w:rPr>
          <w:rFonts w:ascii="Arial" w:hAnsi="Arial"/>
          <w:sz w:val="20"/>
        </w:rPr>
        <w:t xml:space="preserve"> . Hver enkelt ansatt har ansvar for at personsensitivt arbeid ikke lagres andre steder enn det som formelt er godkjent for dette, iht. Datalagringsguiden</w:t>
      </w:r>
    </w:p>
    <w:p w:rsidR="00043170" w:rsidRPr="00043170" w:rsidP="00043170" w14:paraId="4C12E514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0BEB1D24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b/>
          <w:bCs/>
          <w:sz w:val="20"/>
        </w:rPr>
        <w:t>Rolle- og tilgangsstyring i Public 360</w:t>
      </w:r>
    </w:p>
    <w:p w:rsidR="00043170" w:rsidRPr="00043170" w:rsidP="00043170" w14:paraId="55C99EA1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Det er oppgaver og ansvar som er styrende prinsipper om den enkelte medarbeider har tjenstlig behov for tilgang til informasjon i Public 360. Tjenstlig behov er definert slik at </w:t>
      </w:r>
      <w:r w:rsidRPr="00043170">
        <w:rPr>
          <w:rFonts w:ascii="Arial" w:hAnsi="Arial"/>
          <w:i/>
          <w:iCs/>
          <w:sz w:val="20"/>
        </w:rPr>
        <w:t>tilgangen til informasjon er nødvendig for å utføre definerte arbeidsoppgaver.</w:t>
      </w:r>
    </w:p>
    <w:p w:rsidR="00043170" w:rsidRPr="00043170" w:rsidP="00043170" w14:paraId="32D77B4D" w14:textId="77777777">
      <w:p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 </w:t>
      </w:r>
    </w:p>
    <w:p w:rsidR="00043170" w:rsidRPr="00043170" w:rsidP="00043170" w14:paraId="0FA219A2" w14:textId="77777777">
      <w:pPr>
        <w:numPr>
          <w:ilvl w:val="0"/>
          <w:numId w:val="3"/>
        </w:num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Det er leders ansvar å vurdere om det foreligger et tjenstlig behov for tilgang for sine ansatte.</w:t>
      </w:r>
    </w:p>
    <w:p w:rsidR="00043170" w:rsidRPr="00043170" w:rsidP="00043170" w14:paraId="58BE1B77" w14:textId="77777777">
      <w:pPr>
        <w:numPr>
          <w:ilvl w:val="0"/>
          <w:numId w:val="3"/>
        </w:num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Rektor bestiller tilgang for ansatte ved FIF hos seksjon for Dokumentasjonsforvaltning, og bruker serviceportalen både ved ny tilgang og ved endringer og avsluttet arbeidsforhold</w:t>
      </w:r>
    </w:p>
    <w:p w:rsidR="00043170" w:rsidRPr="00043170" w:rsidP="00043170" w14:paraId="1030863D" w14:textId="77777777">
      <w:pPr>
        <w:numPr>
          <w:ilvl w:val="0"/>
          <w:numId w:val="3"/>
        </w:numPr>
        <w:rPr>
          <w:rFonts w:ascii="Arial" w:hAnsi="Arial"/>
          <w:sz w:val="20"/>
        </w:rPr>
      </w:pPr>
      <w:r w:rsidRPr="00043170">
        <w:rPr>
          <w:rFonts w:ascii="Arial" w:hAnsi="Arial"/>
          <w:sz w:val="20"/>
        </w:rPr>
        <w:t>Nye brukere følger opplæring, som er beskrevet på «Hjemmenett» (for ansatte)</w:t>
      </w:r>
    </w:p>
    <w:p w:rsidR="00043170" w:rsidRPr="00043170" w:rsidP="00043170" w14:paraId="309A9C1E" w14:textId="77777777">
      <w:pPr>
        <w:rPr>
          <w:rFonts w:ascii="Arial" w:hAnsi="Arial"/>
          <w:sz w:val="20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33"/>
        <w:gridCol w:w="52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43170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43170" w:rsidRPr="00043170" w:rsidP="00043170" w14:paraId="7C48671A" w14:textId="77777777">
      <w:pPr>
        <w:rPr>
          <w:rFonts w:ascii="Arial" w:hAnsi="Arial"/>
          <w:sz w:val="20"/>
        </w:rPr>
      </w:pPr>
      <w:bookmarkEnd w:id="1"/>
      <w:hyperlink r:id="rId6" w:history="1">
        <w:r w:rsidRPr="00043170">
          <w:rPr>
            <w:rFonts w:ascii="Arial" w:hAnsi="Arial"/>
            <w:color w:val="0000FF"/>
            <w:sz w:val="20"/>
            <w:u w:val="single"/>
          </w:rPr>
          <w:t>Brukerstøtte for dokumentforvaltning</w:t>
        </w:r>
      </w:hyperlink>
    </w:p>
    <w:p w:rsidR="00043170" w:rsidRPr="00043170" w:rsidP="00043170" w14:paraId="00A856A5" w14:textId="77777777">
      <w:pPr>
        <w:rPr>
          <w:rFonts w:ascii="Arial" w:hAnsi="Arial"/>
          <w:sz w:val="20"/>
        </w:rPr>
      </w:pPr>
      <w:hyperlink r:id="rId4" w:history="1">
        <w:r w:rsidRPr="00043170">
          <w:rPr>
            <w:rFonts w:ascii="Arial" w:hAnsi="Arial"/>
            <w:color w:val="0000FF"/>
            <w:sz w:val="20"/>
            <w:u w:val="single"/>
          </w:rPr>
          <w:t>Håndbok for arkivering og saksbehandling</w:t>
        </w:r>
      </w:hyperlink>
    </w:p>
    <w:p w:rsidR="00043170" w:rsidRPr="00043170" w:rsidP="00043170" w14:paraId="5510B7B4" w14:textId="77777777">
      <w:pPr>
        <w:rPr>
          <w:rFonts w:ascii="Arial" w:hAnsi="Arial"/>
          <w:sz w:val="20"/>
        </w:rPr>
      </w:pPr>
      <w:hyperlink r:id="rId5" w:history="1">
        <w:r w:rsidRPr="00043170">
          <w:rPr>
            <w:rFonts w:ascii="Arial" w:hAnsi="Arial"/>
            <w:color w:val="0000FF"/>
            <w:sz w:val="20"/>
            <w:u w:val="single"/>
          </w:rPr>
          <w:t>Retningslinjer for digital lagring i FFK</w:t>
        </w:r>
      </w:hyperlink>
    </w:p>
    <w:p w:rsidR="004F0AD7" w:rsidRPr="004F0AD7" w:rsidP="00A3195A" w14:paraId="77CC4F36" w14:textId="77777777">
      <w:pPr>
        <w:rPr>
          <w:rFonts w:asciiTheme="minorHAnsi" w:hAnsiTheme="minorHAnsi" w:cstheme="minorHAnsi"/>
        </w:rPr>
      </w:pPr>
    </w:p>
    <w:sectPr w:rsidSect="00A319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Prosedyre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0"/>
      <w:gridCol w:w="6082"/>
      <w:gridCol w:w="2136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Prosedyre for</w:t>
          </w:r>
          <w:r w:rsidRPr="002D6455">
            <w:rPr>
              <w:sz w:val="32"/>
              <w:szCs w:val="24"/>
            </w:rPr>
            <w:t xml:space="preserve"> arkivering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1BDB7612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Dok.Id: </w:t>
          </w:r>
          <w:r>
            <w:fldChar w:fldCharType="begin"/>
          </w:r>
          <w:r>
            <w:instrText xml:space="preserve"> DOCPROPERTY \* charformat EK_RefNr  \* MERGEFORMAT </w:instrText>
          </w:r>
          <w:r>
            <w:fldChar w:fldCharType="separate"/>
          </w:r>
          <w:r>
            <w:t>[Referansenummer]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3AB226C"/>
    <w:multiLevelType w:val="multilevel"/>
    <w:tmpl w:val="64EE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8A04DF"/>
    <w:multiLevelType w:val="multilevel"/>
    <w:tmpl w:val="15DE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0E647E"/>
    <w:multiLevelType w:val="multilevel"/>
    <w:tmpl w:val="11F0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218059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36460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519840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043170"/>
    <w:rsid w:val="00103F57"/>
    <w:rsid w:val="0015792A"/>
    <w:rsid w:val="0017263D"/>
    <w:rsid w:val="002268A4"/>
    <w:rsid w:val="00270F0A"/>
    <w:rsid w:val="002D6455"/>
    <w:rsid w:val="0039601D"/>
    <w:rsid w:val="004F0AD7"/>
    <w:rsid w:val="00594D13"/>
    <w:rsid w:val="006941D4"/>
    <w:rsid w:val="007647AD"/>
    <w:rsid w:val="007A6243"/>
    <w:rsid w:val="00841E8A"/>
    <w:rsid w:val="00860F3B"/>
    <w:rsid w:val="008C2B8A"/>
    <w:rsid w:val="009C63CF"/>
    <w:rsid w:val="009D142D"/>
    <w:rsid w:val="00A3195A"/>
    <w:rsid w:val="00C10B4F"/>
    <w:rsid w:val="00C503C9"/>
    <w:rsid w:val="00F655C5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fkno-my.sharepoint.com/:w:/r/personal/lisbeth_odegaard_ffk_no/_layouts/15/guestaccess.aspx?e=Kv7nEC&amp;share=EWLCnRRXrFJPkMdv1mdqLxEBza_EgauwbpEY7mkcq4tAAA" TargetMode="External" /><Relationship Id="rId5" Type="http://schemas.openxmlformats.org/officeDocument/2006/relationships/hyperlink" Target="https://ffkno.sharepoint.com/sites/hjemmenett-stottefunksjoner/SitePages/Datalagringsguide.aspx" TargetMode="External" /><Relationship Id="rId6" Type="http://schemas.openxmlformats.org/officeDocument/2006/relationships/hyperlink" Target="https://ffkno.sharepoint.com/sites/hjemmenett-stottefunksjoner/sitepages/dokumentasjonsforvaltning.aspx" TargetMode="External" /><Relationship Id="rId7" Type="http://schemas.openxmlformats.org/officeDocument/2006/relationships/hyperlink" Target="mailto:arkivhjelp@ffk.no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2</Pages>
  <Words>577</Words>
  <Characters>4282</Characters>
  <Application>Microsoft Office Word</Application>
  <DocSecurity>0</DocSecurity>
  <Lines>35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arkivering</dc:title>
  <dc:subject>Resultatdokument - Stående|[RefNr]|</dc:subject>
  <dc:creator>Handbok</dc:creator>
  <cp:lastModifiedBy>Clara Ohlsson</cp:lastModifiedBy>
  <cp:revision>6</cp:revision>
  <dcterms:created xsi:type="dcterms:W3CDTF">2021-04-19T11:19:00Z</dcterms:created>
  <dcterms:modified xsi:type="dcterms:W3CDTF">2024-06-24T13:24:00Z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000109001</vt:lpwstr>
  </property>
  <property fmtid="{D5CDD505-2E9C-101B-9397-08002B2CF9AE}" pid="8" name="EK_DokTittel">
    <vt:lpwstr>Prosedyre for arkivering</vt:lpwstr>
  </property>
  <property fmtid="{D5CDD505-2E9C-101B-9397-08002B2CF9AE}" pid="9" name="EK_DokType">
    <vt:lpwstr>Prosedyre</vt:lpwstr>
  </property>
  <property fmtid="{D5CDD505-2E9C-101B-9397-08002B2CF9AE}" pid="10" name="EK_DokumentID">
    <vt:lpwstr>D00048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</Properties>
</file>